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835"/>
        </w:tabs>
        <w:ind w:left="4248" w:firstLine="431"/>
        <w:jc w:val="right"/>
        <w:rPr>
          <w:sz w:val="22"/>
          <w:szCs w:val="22"/>
        </w:rPr>
      </w:pPr>
      <w:r>
        <w:rPr>
          <w:color w:val="auto"/>
          <w:sz w:val="22"/>
          <w:szCs w:val="22"/>
        </w:rPr>
        <w:t>Приложение №1 к договору</w:t>
      </w:r>
      <w:r>
        <w:rPr>
          <w:sz w:val="22"/>
          <w:szCs w:val="22"/>
        </w:rPr>
        <w:br w:type="textWrapping"/>
      </w:r>
      <w:r>
        <w:rPr>
          <w:sz w:val="22"/>
          <w:szCs w:val="22"/>
        </w:rPr>
        <w:t xml:space="preserve"> от «___» ________2022г. №_____</w:t>
      </w:r>
    </w:p>
    <w:tbl>
      <w:tblPr>
        <w:tblStyle w:val="41"/>
        <w:tblW w:w="985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7"/>
        <w:gridCol w:w="492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7" w:type="dxa"/>
          </w:tcPr>
          <w:p>
            <w:pPr>
              <w:spacing w:after="0" w:line="260" w:lineRule="auto"/>
              <w:rPr>
                <w:b/>
                <w:color w:val="auto"/>
                <w:sz w:val="22"/>
                <w:szCs w:val="22"/>
              </w:rPr>
            </w:pPr>
          </w:p>
          <w:p>
            <w:pPr>
              <w:spacing w:after="0" w:line="260" w:lineRule="auto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СОГЛАСОВАНО:</w:t>
            </w:r>
          </w:p>
          <w:p>
            <w:pPr>
              <w:spacing w:after="0" w:line="260" w:lineRule="auto"/>
              <w:rPr>
                <w:color w:val="auto"/>
                <w:sz w:val="22"/>
                <w:szCs w:val="22"/>
              </w:rPr>
            </w:pPr>
          </w:p>
          <w:p>
            <w:pPr>
              <w:spacing w:after="0" w:line="260" w:lineRule="auto"/>
              <w:rPr>
                <w:color w:val="auto"/>
                <w:sz w:val="22"/>
                <w:szCs w:val="22"/>
              </w:rPr>
            </w:pPr>
          </w:p>
          <w:p>
            <w:pPr>
              <w:spacing w:after="0" w:line="260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4927" w:type="dxa"/>
          </w:tcPr>
          <w:p>
            <w:pPr>
              <w:spacing w:after="0" w:line="260" w:lineRule="auto"/>
              <w:jc w:val="righ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 xml:space="preserve">                                                                УТВЕРЖДАЮ:</w:t>
            </w:r>
          </w:p>
          <w:p>
            <w:pPr>
              <w:spacing w:after="0" w:line="26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                         Главный инженер ООО «БВК»</w:t>
            </w:r>
          </w:p>
          <w:p>
            <w:pPr>
              <w:spacing w:after="0" w:line="260" w:lineRule="auto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              ____________ О.В. Постоногова                                                                              </w:t>
            </w:r>
          </w:p>
        </w:tc>
      </w:tr>
    </w:tbl>
    <w:p>
      <w:pPr>
        <w:tabs>
          <w:tab w:val="left" w:pos="2835"/>
        </w:tabs>
        <w:ind w:left="4248" w:firstLine="431"/>
        <w:jc w:val="right"/>
        <w:rPr>
          <w:sz w:val="22"/>
          <w:szCs w:val="22"/>
        </w:rPr>
      </w:pPr>
    </w:p>
    <w:p>
      <w:pPr>
        <w:spacing w:before="120"/>
        <w:contextualSpacing/>
        <w:jc w:val="center"/>
        <w:rPr>
          <w:sz w:val="22"/>
          <w:szCs w:val="22"/>
        </w:rPr>
      </w:pPr>
      <w:r>
        <w:rPr>
          <w:b/>
          <w:sz w:val="22"/>
          <w:szCs w:val="22"/>
        </w:rPr>
        <w:t>ЗАДАНИЕ НА ПРОЕКТИРОВАНИЕ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«</w:t>
      </w:r>
      <w:r>
        <w:rPr>
          <w:sz w:val="22"/>
          <w:szCs w:val="22"/>
        </w:rPr>
        <w:t>На выполнение работ по проектированию сетей водопровода для малоэтажной застройки в деревне Шарапы от сети водоснабжения Ду=600, для объекта: «Сети водоснабжения в д. Шарапы»</w:t>
      </w:r>
    </w:p>
    <w:p>
      <w:pPr>
        <w:rPr>
          <w:sz w:val="22"/>
          <w:szCs w:val="22"/>
        </w:rPr>
      </w:pPr>
    </w:p>
    <w:tbl>
      <w:tblPr>
        <w:tblStyle w:val="41"/>
        <w:tblW w:w="10349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"/>
        <w:gridCol w:w="409"/>
        <w:gridCol w:w="2552"/>
        <w:gridCol w:w="751"/>
        <w:gridCol w:w="6466"/>
        <w:gridCol w:w="1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spacing w:after="120"/>
              <w:ind w:left="397" w:right="57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120"/>
              <w:ind w:left="57" w:righ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Основание для проектирования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rFonts w:eastAsia="Helv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Инвестиционный проект </w:t>
            </w:r>
            <w:r>
              <w:rPr>
                <w:rFonts w:eastAsia="Helv"/>
                <w:sz w:val="22"/>
                <w:szCs w:val="22"/>
              </w:rPr>
              <w:t xml:space="preserve"> 0054 - 0000 - 0500 - 0147 </w:t>
            </w:r>
          </w:p>
          <w:p>
            <w:pPr>
              <w:keepLines/>
              <w:ind w:right="57"/>
              <w:jc w:val="both"/>
              <w:rPr>
                <w:color w:val="auto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Вид строительства</w:t>
            </w:r>
          </w:p>
          <w:p>
            <w:pPr>
              <w:keepLines/>
              <w:spacing w:after="0" w:line="260" w:lineRule="auto"/>
              <w:ind w:left="57" w:right="57"/>
              <w:rPr>
                <w:color w:val="auto"/>
                <w:sz w:val="22"/>
                <w:szCs w:val="22"/>
              </w:rPr>
            </w:pP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righ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Новое строительство.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Стадия проектирования</w:t>
            </w:r>
          </w:p>
          <w:p>
            <w:pPr>
              <w:keepLines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0" w:line="260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Проектная документация</w:t>
            </w:r>
          </w:p>
          <w:p>
            <w:pPr>
              <w:keepLines/>
              <w:spacing w:after="0" w:line="260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Рабочая документация</w:t>
            </w:r>
          </w:p>
          <w:p>
            <w:pPr>
              <w:keepLines/>
              <w:spacing w:after="0" w:line="260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Сметная документация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  <w:p>
            <w:pPr>
              <w:keepLines/>
              <w:ind w:left="397" w:right="57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Исходные данные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0" w:line="260" w:lineRule="auto"/>
              <w:ind w:left="34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исходных данных представлен в Приложении № 1.2., </w:t>
            </w:r>
          </w:p>
          <w:p>
            <w:pPr>
              <w:keepLines/>
              <w:spacing w:after="0" w:line="260" w:lineRule="auto"/>
              <w:ind w:left="34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Схема </w:t>
            </w:r>
            <w:r>
              <w:rPr>
                <w:color w:val="auto"/>
                <w:sz w:val="22"/>
                <w:szCs w:val="22"/>
              </w:rPr>
              <w:t xml:space="preserve">предполагаемой трассы проектируемой сети </w:t>
            </w:r>
            <w:r>
              <w:rPr>
                <w:sz w:val="22"/>
                <w:szCs w:val="22"/>
              </w:rPr>
              <w:t>представлена в приложении №1.3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Месторасположение предприятия, здания, сооружения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0" w:line="260" w:lineRule="auto"/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Сети водоснабжения в Пермском крае, г. Березники, деревня Шарапы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 разработки документации.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0" w:line="260" w:lineRule="auto"/>
              <w:ind w:left="34" w:right="57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6.1. Выполнить комплексные инженерные изыскания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 объёме, достаточном для разработки рабочей документации.</w:t>
            </w:r>
          </w:p>
          <w:p>
            <w:pPr>
              <w:keepLines/>
              <w:spacing w:after="0" w:line="260" w:lineRule="auto"/>
              <w:ind w:left="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6.2. На </w:t>
            </w:r>
            <w:r>
              <w:rPr>
                <w:b/>
                <w:color w:val="auto"/>
                <w:sz w:val="22"/>
                <w:szCs w:val="22"/>
              </w:rPr>
              <w:t>этапе предпроектной проработки</w:t>
            </w:r>
            <w:r>
              <w:rPr>
                <w:b/>
                <w:sz w:val="22"/>
                <w:szCs w:val="22"/>
              </w:rPr>
              <w:t xml:space="preserve"> разработать основные </w:t>
            </w:r>
            <w:r>
              <w:rPr>
                <w:b/>
                <w:sz w:val="22"/>
                <w:szCs w:val="22"/>
                <w:lang w:val="ru-RU"/>
              </w:rPr>
              <w:t xml:space="preserve">проектные </w:t>
            </w:r>
            <w:r>
              <w:rPr>
                <w:b/>
                <w:sz w:val="22"/>
                <w:szCs w:val="22"/>
              </w:rPr>
              <w:t xml:space="preserve"> решения:</w:t>
            </w:r>
          </w:p>
          <w:p>
            <w:pPr>
              <w:keepLines/>
              <w:spacing w:after="0" w:line="260" w:lineRule="auto"/>
              <w:ind w:left="3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-  выполнить выбор трассы участков водоводов</w:t>
            </w:r>
            <w:r>
              <w:rPr>
                <w:sz w:val="22"/>
                <w:szCs w:val="22"/>
                <w:lang w:val="ru-RU"/>
              </w:rPr>
              <w:t>;</w:t>
            </w:r>
          </w:p>
          <w:p>
            <w:pPr>
              <w:keepLines/>
              <w:spacing w:after="0" w:line="260" w:lineRule="auto"/>
              <w:ind w:left="3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- определить способ / ы прокладки трубопроводов исходя из ограничений по трассе</w:t>
            </w:r>
            <w:r>
              <w:rPr>
                <w:sz w:val="22"/>
                <w:szCs w:val="22"/>
                <w:lang w:val="ru-RU"/>
              </w:rPr>
              <w:t>;</w:t>
            </w:r>
          </w:p>
          <w:p>
            <w:pPr>
              <w:keepLines/>
              <w:spacing w:after="0" w:line="260" w:lineRule="auto"/>
              <w:rPr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- разработать варианты установки прибора учёта на месте врезки в магистральную сеть;</w:t>
            </w:r>
          </w:p>
          <w:p>
            <w:pPr>
              <w:keepLines/>
              <w:spacing w:after="0" w:line="260" w:lineRule="auto"/>
              <w:rPr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>- разработать варианты передачи данных в АДС г. Березники, находящейся по адресу: г. Березники, ул. Березниковская 95,  с прибора учёта на месте врезки в магистральную сеть;</w:t>
            </w:r>
          </w:p>
          <w:p>
            <w:pPr>
              <w:keepLines/>
              <w:spacing w:after="0" w:line="260" w:lineRule="auto"/>
              <w:ind w:left="3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выполнить гидравлический расчет и определить необходимость строительства водонапорной насосной станции и водонапорной башни.</w:t>
            </w:r>
          </w:p>
          <w:p>
            <w:pPr>
              <w:keepLines/>
              <w:spacing w:after="0" w:line="260" w:lineRule="auto"/>
              <w:ind w:left="3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Проектирование ВНС и водонапорной башни решается отдельным проектом после заключения дополнительного соглашения на выполнение данного вида работ.</w:t>
            </w:r>
          </w:p>
          <w:p>
            <w:pPr>
              <w:keepLines/>
              <w:spacing w:after="0" w:line="260" w:lineRule="auto"/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начала проектирования разработать «Основные </w:t>
            </w:r>
            <w:r>
              <w:rPr>
                <w:sz w:val="22"/>
                <w:szCs w:val="22"/>
                <w:lang w:val="ru-RU"/>
              </w:rPr>
              <w:t>проектные</w:t>
            </w:r>
            <w:r>
              <w:rPr>
                <w:sz w:val="22"/>
                <w:szCs w:val="22"/>
              </w:rPr>
              <w:t xml:space="preserve"> решения» (далее О</w:t>
            </w:r>
            <w:r>
              <w:rPr>
                <w:sz w:val="22"/>
                <w:szCs w:val="22"/>
                <w:lang w:val="ru-RU"/>
              </w:rPr>
              <w:t>П</w:t>
            </w:r>
            <w:r>
              <w:rPr>
                <w:sz w:val="22"/>
                <w:szCs w:val="22"/>
              </w:rPr>
              <w:t>Р) с последующим согласованием их с Заказчиком.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В О</w:t>
            </w:r>
            <w:r>
              <w:rPr>
                <w:sz w:val="22"/>
                <w:szCs w:val="22"/>
                <w:lang w:val="ru-RU"/>
              </w:rPr>
              <w:t>П</w:t>
            </w:r>
            <w:r>
              <w:rPr>
                <w:sz w:val="22"/>
                <w:szCs w:val="22"/>
              </w:rPr>
              <w:t>Р</w:t>
            </w:r>
            <w:r>
              <w:rPr>
                <w:color w:val="0000FF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представить </w:t>
            </w:r>
            <w:r>
              <w:rPr>
                <w:rFonts w:eastAsia="Helv"/>
                <w:bCs/>
                <w:sz w:val="22"/>
                <w:szCs w:val="22"/>
              </w:rPr>
              <w:t>стыковки разрабатываемых сетей и существующих (действующих).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>
            <w:pPr>
              <w:keepLines/>
              <w:spacing w:after="0" w:line="260" w:lineRule="auto"/>
              <w:ind w:left="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6.3. Разработать стадию Проектной документации: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Раздел 3 - ТКР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 состав раздела включить: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- содержание раздела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пояснительная записка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графическая часть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- план наружных сетей </w:t>
            </w:r>
          </w:p>
          <w:p>
            <w:pPr>
              <w:keepLines/>
              <w:spacing w:after="0" w:line="260" w:lineRule="auto"/>
              <w:ind w:left="3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6.4. Разработать Рабочую документацию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составе рабочей документации предусмотреть: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6.4.1. Деталировки колодцев, камер переключения, места установки вантузов и пожарных гидратов, аварийных выпусков</w:t>
            </w:r>
            <w:r>
              <w:rPr>
                <w:sz w:val="22"/>
                <w:szCs w:val="22"/>
                <w:lang w:val="ru-RU"/>
              </w:rPr>
              <w:t>;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rFonts w:hint="default" w:eastAsia="Helv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6.4.2. </w:t>
            </w:r>
            <w:r>
              <w:rPr>
                <w:rFonts w:hint="default" w:ascii="Times New Roman" w:hAnsi="Times New Roman" w:eastAsia="Helv" w:cs="Times New Roman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 xml:space="preserve">Предусмотреть </w:t>
            </w:r>
            <w:r>
              <w:rPr>
                <w:rFonts w:hint="default" w:eastAsia="Helv" w:cs="Times New Roman"/>
                <w:color w:val="000000" w:themeColor="text1"/>
                <w:sz w:val="22"/>
                <w:szCs w:val="22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установку прибора учёта в точке врезке  проектируемой сети в магистральный водопровод. 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6.4.</w:t>
            </w:r>
            <w:r>
              <w:rPr>
                <w:sz w:val="22"/>
                <w:szCs w:val="22"/>
                <w:lang w:val="ru-RU"/>
              </w:rPr>
              <w:t>3</w:t>
            </w:r>
            <w:r>
              <w:rPr>
                <w:sz w:val="22"/>
                <w:szCs w:val="22"/>
              </w:rPr>
              <w:t>. Разработать узлы врезок в существующие сети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6.4.</w:t>
            </w:r>
            <w:r>
              <w:rPr>
                <w:sz w:val="22"/>
                <w:szCs w:val="22"/>
                <w:lang w:val="ru-RU"/>
              </w:rPr>
              <w:t>4</w:t>
            </w:r>
            <w:r>
              <w:rPr>
                <w:sz w:val="22"/>
                <w:szCs w:val="22"/>
              </w:rPr>
              <w:t xml:space="preserve">. Рабочие чертежи, </w:t>
            </w:r>
            <w:r>
              <w:rPr>
                <w:sz w:val="22"/>
                <w:szCs w:val="22"/>
                <w:lang w:val="ru-RU"/>
              </w:rPr>
              <w:t>объединённые</w:t>
            </w:r>
            <w:r>
              <w:rPr>
                <w:sz w:val="22"/>
                <w:szCs w:val="22"/>
              </w:rPr>
              <w:t xml:space="preserve"> в комплекте по видам работ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6.4.</w:t>
            </w:r>
            <w:r>
              <w:rPr>
                <w:sz w:val="22"/>
                <w:szCs w:val="22"/>
                <w:lang w:val="ru-RU"/>
              </w:rPr>
              <w:t>5</w:t>
            </w:r>
            <w:r>
              <w:rPr>
                <w:sz w:val="22"/>
                <w:szCs w:val="22"/>
              </w:rPr>
              <w:t>. Прилагаемые к основным комплектам рабочих чертежей документы.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основной комплект рабочих чертежей входят: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общие данные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чертежи, схемы, таблицы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прилагаемые документы входят: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ведомость потребности в материалах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спецификация оборудования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ведомость </w:t>
            </w:r>
            <w:r>
              <w:rPr>
                <w:sz w:val="22"/>
                <w:szCs w:val="22"/>
                <w:lang w:val="ru-RU"/>
              </w:rPr>
              <w:t>объёмов</w:t>
            </w:r>
            <w:r>
              <w:rPr>
                <w:sz w:val="22"/>
                <w:szCs w:val="22"/>
              </w:rPr>
              <w:t xml:space="preserve"> монтажных и строительных работ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6.5. Разработать Сметную документацию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составе сметной документации разработать:</w:t>
            </w:r>
          </w:p>
          <w:p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34" w:right="57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Сводн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ый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-сметный расчет</w:t>
            </w:r>
          </w:p>
          <w:p>
            <w:pPr>
              <w:keepNext w:val="0"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auto"/>
              <w:ind w:left="34" w:right="57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- локальн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ые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-сметны</w:t>
            </w:r>
            <w:r>
              <w:rPr>
                <w:rFonts w:hint="default" w:cs="Times New Roman"/>
                <w:sz w:val="22"/>
                <w:szCs w:val="22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расчет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>
              <w:rPr>
                <w:b/>
                <w:bCs/>
                <w:color w:val="auto"/>
                <w:sz w:val="22"/>
                <w:szCs w:val="22"/>
              </w:rPr>
              <w:t>6.6. Согласование рабочей документации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Подрядчику согласовать документацию с инженерными службами (компетентными государственными организациями, органами местного самоуправления, заинтересованными лицами), с Заказчиком (в том числе с районными эксплуатационными участками).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по вариантной разработке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rFonts w:eastAsia="SimSun" w:cs="Times New Roman"/>
                <w:color w:val="auto"/>
                <w:lang w:eastAsia="ru-RU"/>
              </w:rPr>
              <w:t>В соответствии с утверждённой методикой Приказа ООО «РКС-Холдинг» от 08.02.2022г №11.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Особые условия строительства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нет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технико-экономические характеристики и показатели объекта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0" w:line="260" w:lineRule="auto"/>
              <w:ind w:right="57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Разработать сметную документацию: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До ввода федеральной государственной информационной системы ценообразования в строительстве (ФГИС ЦС), при разработке сметной документации применять сметные нормативы, внесённые в федеральный реестр сметных нормативов базисно-индексным методом, с разницей в стоимости материальных ресурсов по всей номенклатуре.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Lines/>
              <w:spacing w:after="120"/>
              <w:ind w:left="57" w:leftChars="0" w:right="57" w:rightChars="0"/>
              <w:rPr>
                <w:sz w:val="22"/>
                <w:szCs w:val="22"/>
              </w:rPr>
            </w:pPr>
            <w:r>
              <w:rPr>
                <w:rFonts w:cs="Times New Roman"/>
                <w:lang w:val="ru-RU"/>
              </w:rPr>
              <w:t>Требования к сметной документации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Lines/>
              <w:spacing w:after="80" w:line="264" w:lineRule="auto"/>
              <w:ind w:left="34" w:leftChars="0" w:right="57" w:rightChars="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szCs w:val="28"/>
                <w:lang w:val="ru-RU"/>
              </w:rPr>
              <w:t>Провести независимую негосударственную экспертизу сметной документации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Особые требования к проектированию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Разработать «Основные </w:t>
            </w:r>
            <w:r>
              <w:rPr>
                <w:sz w:val="22"/>
                <w:szCs w:val="22"/>
                <w:lang w:val="ru-RU"/>
              </w:rPr>
              <w:t>проектные</w:t>
            </w:r>
            <w:r>
              <w:rPr>
                <w:sz w:val="22"/>
                <w:szCs w:val="22"/>
              </w:rPr>
              <w:t xml:space="preserve"> решения» с последующим согласованием их с Заказчиком.</w:t>
            </w:r>
          </w:p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составе ТР представить решения </w:t>
            </w:r>
            <w:r>
              <w:rPr>
                <w:rFonts w:eastAsia="Helv"/>
                <w:b/>
                <w:sz w:val="22"/>
                <w:szCs w:val="22"/>
              </w:rPr>
              <w:t>стыковки</w:t>
            </w:r>
            <w:r>
              <w:rPr>
                <w:rFonts w:eastAsia="Helv"/>
                <w:bCs/>
                <w:sz w:val="22"/>
                <w:szCs w:val="22"/>
              </w:rPr>
              <w:t xml:space="preserve"> проектируемых сетей и существующих (действующих).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Принятые технологии, строительные решения, организация производства и труда должны соответствовать действующим стандартам и нормам Российской Федерации по качеству.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технологии, режиму предприятия и основному оборудованию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архитектурно-планировочным, конструктивным и инженерным решениям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Требования и условия к разработке природоохранных мероприятий</w:t>
            </w:r>
          </w:p>
          <w:p>
            <w:pPr>
              <w:keepLines/>
              <w:ind w:left="34" w:right="57"/>
              <w:rPr>
                <w:color w:val="auto"/>
                <w:sz w:val="22"/>
                <w:szCs w:val="22"/>
              </w:rPr>
            </w:pP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Не требуется.</w:t>
            </w:r>
          </w:p>
          <w:p>
            <w:pPr>
              <w:keepLines/>
              <w:ind w:left="34" w:right="57"/>
              <w:jc w:val="both"/>
              <w:rPr>
                <w:color w:val="auto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Автоматизация технологических процессов</w:t>
            </w:r>
          </w:p>
          <w:p>
            <w:pPr>
              <w:keepLines/>
              <w:ind w:left="34" w:right="5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b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Не требуется.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rFonts w:eastAsia="Calibri"/>
                <w:color w:val="auto"/>
                <w:sz w:val="22"/>
                <w:szCs w:val="22"/>
                <w:highlight w:val="yellow"/>
                <w:lang w:eastAsia="en-US"/>
              </w:rPr>
            </w:pPr>
            <w:r>
              <w:rPr>
                <w:color w:val="auto"/>
                <w:sz w:val="22"/>
                <w:szCs w:val="22"/>
              </w:rPr>
              <w:t>Обеспечение единства измерений и контроль качества продукции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Не требуется.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Технологическая связь</w:t>
            </w:r>
          </w:p>
          <w:p>
            <w:pPr>
              <w:keepLines/>
              <w:ind w:left="34" w:right="5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Не требуется.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Энергоснабжение</w:t>
            </w:r>
          </w:p>
          <w:p>
            <w:pPr>
              <w:keepLines/>
              <w:ind w:left="34" w:right="5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right="57"/>
              <w:jc w:val="both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При необходимости.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57" w:righ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Требования по энергосбережению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Не требуется.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34" w:righ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Требования по промышленной безопасности, охране и гигиене труда</w:t>
            </w:r>
          </w:p>
          <w:p>
            <w:pPr>
              <w:ind w:left="34" w:right="57"/>
              <w:jc w:val="both"/>
              <w:rPr>
                <w:color w:val="auto"/>
                <w:sz w:val="22"/>
                <w:szCs w:val="22"/>
              </w:rPr>
            </w:pP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tabs>
                <w:tab w:val="left" w:pos="317"/>
              </w:tabs>
              <w:ind w:left="33" w:righ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Не требуется.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57" w:right="57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Выделение очередей и пусковых комплексов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color w:val="auto"/>
                <w:sz w:val="22"/>
                <w:szCs w:val="22"/>
                <w:highlight w:val="yellow"/>
              </w:rPr>
            </w:pPr>
            <w:r>
              <w:rPr>
                <w:color w:val="auto"/>
                <w:sz w:val="22"/>
                <w:szCs w:val="22"/>
              </w:rPr>
              <w:t>При необходимости предусмотреть выделение этапов строительства, с выделением объёмов работ и составлением смет для каждого этапа в отдельности, для объектов, составляющих единый технологический цикл, которые возможно ввести в эксплуатацию после завершения работ. В целях снижения объёма незавершённого строительства в процессе работ обеспечить минимизацию этапов строительства.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57" w:right="57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Требования по ассимиляции производства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требуется.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34" w:righ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Инженерно-технические мероприятия гражданской обороны и мероприятия по предупреждению чрезвычайных ситуаций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34" w:righ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Не требуется.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34" w:righ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Требования по пожарной безопасности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34" w:righ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Не требуется.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9"/>
              <w:spacing w:before="0"/>
              <w:rPr>
                <w:rFonts w:ascii="Times New Roman" w:hAnsi="Times New Roman"/>
                <w:snapToGrid/>
                <w:sz w:val="22"/>
                <w:szCs w:val="22"/>
              </w:rPr>
            </w:pPr>
            <w:r>
              <w:rPr>
                <w:rFonts w:ascii="Times New Roman" w:hAnsi="Times New Roman"/>
                <w:snapToGrid/>
                <w:sz w:val="22"/>
                <w:szCs w:val="22"/>
              </w:rPr>
              <w:t>Требования по инженерно-технической защищенности объектов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4"/>
              <w:jc w:val="both"/>
              <w:rPr>
                <w:rFonts w:ascii="Times New Roman" w:hAnsi="Times New Roman" w:eastAsia="Times New Roman"/>
                <w:szCs w:val="22"/>
              </w:rPr>
            </w:pPr>
            <w:r>
              <w:rPr>
                <w:rFonts w:ascii="Times New Roman" w:hAnsi="Times New Roman" w:eastAsia="Times New Roman"/>
                <w:szCs w:val="22"/>
              </w:rPr>
              <w:t>Не требуется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34" w:righ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Требования к системам безопасности и охране объектов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Не требуется.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 w:hanging="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Определение затрат на страхование 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требованию Заказчика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Субподрядные проектные организации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Определяются </w:t>
            </w:r>
            <w:r>
              <w:rPr>
                <w:color w:val="auto"/>
                <w:sz w:val="22"/>
                <w:szCs w:val="22"/>
              </w:rPr>
              <w:t>Подрядчиком</w:t>
            </w:r>
            <w:r>
              <w:rPr>
                <w:sz w:val="22"/>
                <w:szCs w:val="22"/>
              </w:rPr>
              <w:t xml:space="preserve"> по согласованию с Заказчиком.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Срок выполнения работы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0" w:line="260" w:lineRule="auto"/>
              <w:ind w:left="34" w:righ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180 календарных дней с момента заключения договора, в том числе:</w:t>
            </w:r>
          </w:p>
          <w:p>
            <w:pPr>
              <w:keepLines/>
              <w:spacing w:after="0" w:line="260" w:lineRule="auto"/>
              <w:ind w:left="318" w:right="57" w:hanging="284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1. Разработка проектно-сметной документации, в том числе: </w:t>
            </w:r>
          </w:p>
          <w:p>
            <w:pPr>
              <w:keepLines/>
              <w:spacing w:after="0" w:line="260" w:lineRule="auto"/>
              <w:ind w:right="57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1.1. </w:t>
            </w:r>
            <w:r>
              <w:rPr>
                <w:sz w:val="22"/>
                <w:szCs w:val="22"/>
              </w:rPr>
              <w:t>Разработка «Основные технические решения» - 30календарных дней</w:t>
            </w:r>
          </w:p>
          <w:p>
            <w:pPr>
              <w:keepLines/>
              <w:spacing w:after="0" w:line="260" w:lineRule="auto"/>
              <w:ind w:right="57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t>1.2. Согласование с Заказчиком</w:t>
            </w:r>
            <w:r>
              <w:rPr>
                <w:color w:val="auto"/>
                <w:sz w:val="22"/>
                <w:szCs w:val="22"/>
              </w:rPr>
              <w:t xml:space="preserve"> - 10 календарных дня</w:t>
            </w:r>
          </w:p>
          <w:p>
            <w:pPr>
              <w:keepLines/>
              <w:spacing w:after="0" w:line="260" w:lineRule="auto"/>
              <w:ind w:righ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1.3. Разработка проектной документации стадии ТКР и РД -60 календарных дней</w:t>
            </w:r>
          </w:p>
          <w:p>
            <w:pPr>
              <w:keepLines/>
              <w:spacing w:after="0" w:line="260" w:lineRule="auto"/>
              <w:ind w:righ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1.4. Согласование проектной документации стадии ТКР и РД с Заказчиком, инженерными службами (компетентными государственными организациями, органами местного самоуправления, заинтересованными организациями) – 30 календарных дней, </w:t>
            </w:r>
          </w:p>
          <w:p>
            <w:pPr>
              <w:keepLines/>
              <w:spacing w:after="0" w:line="260" w:lineRule="auto"/>
              <w:ind w:righ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1.5. Разработка сметной документации –  30 календарных дней;</w:t>
            </w:r>
          </w:p>
          <w:p>
            <w:pPr>
              <w:keepLines/>
              <w:spacing w:after="0" w:line="260" w:lineRule="auto"/>
              <w:ind w:righ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1.6. Окончательное согласование проектно- сметной документации с Заказчиком – 20 календарных дней.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 демонстрационных материалов</w:t>
            </w:r>
          </w:p>
          <w:p>
            <w:pPr>
              <w:keepLines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tabs>
                <w:tab w:val="left" w:pos="459"/>
              </w:tabs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требованию Заказчика: </w:t>
            </w:r>
          </w:p>
          <w:p>
            <w:pPr>
              <w:keepLines/>
              <w:tabs>
                <w:tab w:val="left" w:pos="459"/>
              </w:tabs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эскизы, схемы и графики планировочных, компоновочных решений и технико-экономических показателей.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21"/>
              <w:keepLines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действия задания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срока</w:t>
            </w:r>
            <w:r>
              <w:rPr>
                <w:color w:val="auto"/>
                <w:sz w:val="22"/>
                <w:szCs w:val="22"/>
              </w:rPr>
              <w:t xml:space="preserve"> действия договора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 сдачи работы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spacing w:after="0" w:line="260" w:lineRule="auto"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Подрядчик </w:t>
            </w:r>
            <w:r>
              <w:rPr>
                <w:sz w:val="22"/>
                <w:szCs w:val="22"/>
              </w:rPr>
              <w:t>передает проектно-сметную документацию Заказчику по накладной по месту нахождения Заказчика:</w:t>
            </w:r>
          </w:p>
          <w:p>
            <w:pPr>
              <w:keepLines/>
              <w:numPr>
                <w:ilvl w:val="0"/>
                <w:numId w:val="9"/>
              </w:numPr>
              <w:tabs>
                <w:tab w:val="left" w:pos="317"/>
              </w:tabs>
              <w:spacing w:after="0" w:line="260" w:lineRule="auto"/>
              <w:ind w:left="33" w:right="57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бумажном носителе - в 3-х экземплярах;</w:t>
            </w:r>
          </w:p>
          <w:p>
            <w:pPr>
              <w:keepLines/>
              <w:numPr>
                <w:ilvl w:val="0"/>
                <w:numId w:val="9"/>
              </w:numPr>
              <w:tabs>
                <w:tab w:val="left" w:pos="317"/>
              </w:tabs>
              <w:ind w:left="33" w:right="57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электронном виде - на </w:t>
            </w:r>
            <w:r>
              <w:rPr>
                <w:sz w:val="22"/>
                <w:szCs w:val="22"/>
                <w:lang w:val="en-US"/>
              </w:rPr>
              <w:t>USB</w:t>
            </w:r>
            <w:r>
              <w:rPr>
                <w:sz w:val="22"/>
                <w:szCs w:val="22"/>
              </w:rPr>
              <w:t xml:space="preserve">-флеш-накопителе в 1 экземпляре. Документация должна иметь форматы </w:t>
            </w:r>
            <w:r>
              <w:rPr>
                <w:sz w:val="22"/>
                <w:szCs w:val="22"/>
                <w:lang w:val="en-US"/>
              </w:rPr>
              <w:t>PDF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DOC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DOCX</w:t>
            </w:r>
            <w:r>
              <w:rPr>
                <w:sz w:val="22"/>
                <w:szCs w:val="22"/>
              </w:rPr>
              <w:t xml:space="preserve">) и </w:t>
            </w:r>
            <w:r>
              <w:rPr>
                <w:sz w:val="22"/>
                <w:szCs w:val="22"/>
                <w:lang w:val="en-US"/>
              </w:rPr>
              <w:t>XLS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XLSX</w:t>
            </w:r>
            <w:r>
              <w:rPr>
                <w:sz w:val="22"/>
                <w:szCs w:val="22"/>
              </w:rPr>
              <w:t>). При необходимости могут быть использованы другие форматы передачи данных.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numPr>
                <w:ilvl w:val="0"/>
                <w:numId w:val="8"/>
              </w:numPr>
              <w:ind w:left="39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передаче материалов на электронных носителях</w:t>
            </w:r>
          </w:p>
        </w:tc>
        <w:tc>
          <w:tcPr>
            <w:tcW w:w="72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Lines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Электронная версия комплекта документации передаётся на оптических дисках в одном экземпляре, изготовленных разработчиком документации на </w:t>
            </w:r>
            <w:r>
              <w:rPr>
                <w:sz w:val="22"/>
                <w:szCs w:val="22"/>
                <w:lang w:val="en-US"/>
              </w:rPr>
              <w:t>USB</w:t>
            </w:r>
            <w:r>
              <w:rPr>
                <w:sz w:val="22"/>
                <w:szCs w:val="22"/>
              </w:rPr>
              <w:t>-флеш-накопителе.</w:t>
            </w:r>
          </w:p>
          <w:p>
            <w:pPr>
              <w:keepLines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корневом каталоге </w:t>
            </w:r>
            <w:r>
              <w:rPr>
                <w:sz w:val="22"/>
                <w:szCs w:val="22"/>
                <w:lang w:val="en-US"/>
              </w:rPr>
              <w:t>USB</w:t>
            </w:r>
            <w:r>
              <w:rPr>
                <w:sz w:val="22"/>
                <w:szCs w:val="22"/>
              </w:rPr>
              <w:t xml:space="preserve">-флеш-накопителя должен находиться текстовый файл содержания в формате </w:t>
            </w:r>
            <w:r>
              <w:rPr>
                <w:sz w:val="22"/>
                <w:szCs w:val="22"/>
                <w:lang w:val="en-US"/>
              </w:rPr>
              <w:t>TXT</w:t>
            </w:r>
            <w:r>
              <w:rPr>
                <w:sz w:val="22"/>
                <w:szCs w:val="22"/>
              </w:rPr>
              <w:t xml:space="preserve"> или </w:t>
            </w:r>
            <w:r>
              <w:rPr>
                <w:sz w:val="22"/>
                <w:szCs w:val="22"/>
                <w:lang w:val="en-US"/>
              </w:rPr>
              <w:t>PDF</w:t>
            </w:r>
            <w:r>
              <w:rPr>
                <w:sz w:val="22"/>
                <w:szCs w:val="22"/>
              </w:rPr>
              <w:t xml:space="preserve"> 1.7 (</w:t>
            </w:r>
            <w:r>
              <w:rPr>
                <w:sz w:val="22"/>
                <w:szCs w:val="22"/>
                <w:lang w:val="en-US"/>
              </w:rPr>
              <w:t>AEL</w:t>
            </w:r>
            <w:r>
              <w:rPr>
                <w:sz w:val="22"/>
                <w:szCs w:val="22"/>
              </w:rPr>
              <w:t xml:space="preserve"> 3).</w:t>
            </w:r>
          </w:p>
          <w:p>
            <w:pPr>
              <w:keepLines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 и содержание записанной информации должны соответствовать комплекту документации. Каждый физический раздел комплекта (том, книга, альбом чертежей и т.п.) должен быть представлен в отдельном каталоге, файлом (группой файлов) электронного документа. Название каталога должно соответствовать названию раздела.</w:t>
            </w:r>
          </w:p>
          <w:p>
            <w:pPr>
              <w:keepLines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Технологические схемы и чертежи представить в форматах PDF 1.7 (</w:t>
            </w:r>
            <w:r>
              <w:rPr>
                <w:sz w:val="22"/>
                <w:szCs w:val="22"/>
                <w:lang w:val="en-US"/>
              </w:rPr>
              <w:t>AEL</w:t>
            </w:r>
            <w:r>
              <w:rPr>
                <w:sz w:val="22"/>
                <w:szCs w:val="22"/>
              </w:rPr>
              <w:t xml:space="preserve"> 3)  и </w:t>
            </w:r>
            <w:r>
              <w:rPr>
                <w:sz w:val="22"/>
                <w:szCs w:val="22"/>
                <w:lang w:val="en-US"/>
              </w:rPr>
              <w:t>DWG</w:t>
            </w:r>
            <w:r>
              <w:rPr>
                <w:sz w:val="22"/>
                <w:szCs w:val="22"/>
              </w:rPr>
              <w:t xml:space="preserve"> 2013 (</w:t>
            </w:r>
            <w:r>
              <w:rPr>
                <w:sz w:val="22"/>
                <w:szCs w:val="22"/>
                <w:lang w:val="en-US"/>
              </w:rPr>
              <w:t>AC</w:t>
            </w:r>
            <w:r>
              <w:rPr>
                <w:sz w:val="22"/>
                <w:szCs w:val="22"/>
              </w:rPr>
              <w:t xml:space="preserve">1027) или </w:t>
            </w:r>
            <w:r>
              <w:rPr>
                <w:sz w:val="22"/>
                <w:szCs w:val="22"/>
                <w:lang w:val="en-US"/>
              </w:rPr>
              <w:t>DWG</w:t>
            </w:r>
            <w:r>
              <w:rPr>
                <w:sz w:val="22"/>
                <w:szCs w:val="22"/>
              </w:rPr>
              <w:t xml:space="preserve"> 2018 (</w:t>
            </w:r>
            <w:r>
              <w:rPr>
                <w:sz w:val="22"/>
                <w:szCs w:val="22"/>
                <w:lang w:val="en-US"/>
              </w:rPr>
              <w:t>AC</w:t>
            </w:r>
            <w:r>
              <w:rPr>
                <w:sz w:val="22"/>
                <w:szCs w:val="22"/>
              </w:rPr>
              <w:t>1032):</w:t>
            </w:r>
          </w:p>
          <w:p>
            <w:pPr>
              <w:keepLines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версия – графический образ документации со сканированными страницами согласования, содержащих подписи, печати и необходимые отметки, чертежи основных комплектов в формате </w:t>
            </w:r>
            <w:r>
              <w:rPr>
                <w:sz w:val="22"/>
                <w:szCs w:val="22"/>
                <w:lang w:val="en-US"/>
              </w:rPr>
              <w:t>PDF</w:t>
            </w:r>
            <w:r>
              <w:rPr>
                <w:sz w:val="22"/>
                <w:szCs w:val="22"/>
              </w:rPr>
              <w:t xml:space="preserve"> 1.7 (</w:t>
            </w:r>
            <w:r>
              <w:rPr>
                <w:sz w:val="22"/>
                <w:szCs w:val="22"/>
                <w:lang w:val="en-US"/>
              </w:rPr>
              <w:t>AEL</w:t>
            </w:r>
            <w:r>
              <w:rPr>
                <w:sz w:val="22"/>
                <w:szCs w:val="22"/>
              </w:rPr>
              <w:t xml:space="preserve"> 3);</w:t>
            </w:r>
          </w:p>
          <w:p>
            <w:pPr>
              <w:keepLines/>
              <w:ind w:left="34"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версия – исходная документация в формате разработки:</w:t>
            </w:r>
          </w:p>
          <w:p>
            <w:pPr>
              <w:pStyle w:val="87"/>
              <w:keepLines/>
              <w:numPr>
                <w:ilvl w:val="0"/>
                <w:numId w:val="10"/>
              </w:numPr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чертежи и схемы – </w:t>
            </w:r>
            <w:r>
              <w:rPr>
                <w:sz w:val="22"/>
                <w:szCs w:val="22"/>
                <w:lang w:val="en-US"/>
              </w:rPr>
              <w:t>DWG</w:t>
            </w:r>
            <w:r>
              <w:rPr>
                <w:sz w:val="22"/>
                <w:szCs w:val="22"/>
              </w:rPr>
              <w:t xml:space="preserve"> 2013 (</w:t>
            </w:r>
            <w:r>
              <w:rPr>
                <w:sz w:val="22"/>
                <w:szCs w:val="22"/>
                <w:lang w:val="en-US"/>
              </w:rPr>
              <w:t>AC</w:t>
            </w:r>
            <w:r>
              <w:rPr>
                <w:sz w:val="22"/>
                <w:szCs w:val="22"/>
              </w:rPr>
              <w:t xml:space="preserve">1027) или </w:t>
            </w:r>
            <w:r>
              <w:rPr>
                <w:sz w:val="22"/>
                <w:szCs w:val="22"/>
                <w:lang w:val="en-US"/>
              </w:rPr>
              <w:t>DWG</w:t>
            </w:r>
            <w:r>
              <w:rPr>
                <w:sz w:val="22"/>
                <w:szCs w:val="22"/>
              </w:rPr>
              <w:t xml:space="preserve"> 2018 (</w:t>
            </w:r>
            <w:r>
              <w:rPr>
                <w:sz w:val="22"/>
                <w:szCs w:val="22"/>
                <w:lang w:val="en-US"/>
              </w:rPr>
              <w:t>AC</w:t>
            </w:r>
            <w:r>
              <w:rPr>
                <w:sz w:val="22"/>
                <w:szCs w:val="22"/>
              </w:rPr>
              <w:t>1032);</w:t>
            </w:r>
          </w:p>
          <w:p>
            <w:pPr>
              <w:pStyle w:val="87"/>
              <w:keepLines/>
              <w:numPr>
                <w:ilvl w:val="0"/>
                <w:numId w:val="11"/>
              </w:numPr>
              <w:ind w:right="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картографические материалы, включенные в проектную и рабочую документацию – в форматах чтения ПО «MapI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 xml:space="preserve">fo», </w:t>
            </w:r>
            <w:r>
              <w:rPr>
                <w:sz w:val="22"/>
                <w:szCs w:val="22"/>
                <w:lang w:val="en-US"/>
              </w:rPr>
              <w:t>PDF</w:t>
            </w:r>
            <w:r>
              <w:rPr>
                <w:sz w:val="22"/>
                <w:szCs w:val="22"/>
              </w:rPr>
              <w:t xml:space="preserve"> 1.7 (</w:t>
            </w:r>
            <w:r>
              <w:rPr>
                <w:sz w:val="22"/>
                <w:szCs w:val="22"/>
                <w:lang w:val="en-US"/>
              </w:rPr>
              <w:t>AEL</w:t>
            </w:r>
            <w:r>
              <w:rPr>
                <w:sz w:val="22"/>
                <w:szCs w:val="22"/>
              </w:rPr>
              <w:t xml:space="preserve"> 3), </w:t>
            </w:r>
            <w:r>
              <w:rPr>
                <w:sz w:val="22"/>
                <w:szCs w:val="22"/>
                <w:lang w:val="en-US"/>
              </w:rPr>
              <w:t>DWG</w:t>
            </w:r>
            <w:r>
              <w:rPr>
                <w:sz w:val="22"/>
                <w:szCs w:val="22"/>
              </w:rPr>
              <w:t xml:space="preserve"> 2013 (</w:t>
            </w:r>
            <w:r>
              <w:rPr>
                <w:sz w:val="22"/>
                <w:szCs w:val="22"/>
                <w:lang w:val="en-US"/>
              </w:rPr>
              <w:t>AC</w:t>
            </w:r>
            <w:r>
              <w:rPr>
                <w:sz w:val="22"/>
                <w:szCs w:val="22"/>
              </w:rPr>
              <w:t xml:space="preserve">1027) или </w:t>
            </w:r>
            <w:r>
              <w:rPr>
                <w:sz w:val="22"/>
                <w:szCs w:val="22"/>
                <w:lang w:val="en-US"/>
              </w:rPr>
              <w:t>DWG</w:t>
            </w:r>
            <w:r>
              <w:rPr>
                <w:sz w:val="22"/>
                <w:szCs w:val="22"/>
              </w:rPr>
              <w:t xml:space="preserve"> 2018 (</w:t>
            </w:r>
            <w:r>
              <w:rPr>
                <w:sz w:val="22"/>
                <w:szCs w:val="22"/>
                <w:lang w:val="en-US"/>
              </w:rPr>
              <w:t>AC</w:t>
            </w:r>
            <w:r>
              <w:rPr>
                <w:sz w:val="22"/>
                <w:szCs w:val="22"/>
              </w:rPr>
              <w:t>1032), в формате ГИС «</w:t>
            </w:r>
            <w:r>
              <w:rPr>
                <w:sz w:val="22"/>
                <w:szCs w:val="22"/>
                <w:lang w:val="en-US"/>
              </w:rPr>
              <w:t>Zulu</w:t>
            </w:r>
            <w:r>
              <w:rPr>
                <w:sz w:val="22"/>
                <w:szCs w:val="22"/>
              </w:rPr>
              <w:t>», а также в формате GDB ГИС «ВЕГА».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58" w:type="dxa"/>
          <w:wAfter w:w="13" w:type="dxa"/>
          <w:trHeight w:val="375" w:hRule="atLeast"/>
          <w:jc w:val="center"/>
        </w:trPr>
        <w:tc>
          <w:tcPr>
            <w:tcW w:w="3712" w:type="dxa"/>
            <w:gridSpan w:val="3"/>
          </w:tcPr>
          <w:p>
            <w:pPr>
              <w:rPr>
                <w:sz w:val="22"/>
                <w:szCs w:val="22"/>
                <w:u w:val="single"/>
              </w:rPr>
            </w:pPr>
          </w:p>
          <w:p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Приложения:</w:t>
            </w:r>
          </w:p>
        </w:tc>
        <w:tc>
          <w:tcPr>
            <w:tcW w:w="6466" w:type="dxa"/>
          </w:tcPr>
          <w:p>
            <w:pPr>
              <w:rPr>
                <w:b/>
                <w:bCs/>
                <w:i/>
                <w:iCs/>
                <w:spacing w:val="-4"/>
                <w:w w:val="103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58" w:type="dxa"/>
          <w:wAfter w:w="13" w:type="dxa"/>
          <w:trHeight w:val="159" w:hRule="atLeast"/>
          <w:jc w:val="center"/>
        </w:trPr>
        <w:tc>
          <w:tcPr>
            <w:tcW w:w="10178" w:type="dxa"/>
            <w:gridSpan w:val="4"/>
          </w:tcPr>
          <w:p>
            <w:pPr>
              <w:rPr>
                <w:bCs/>
                <w:i/>
                <w:iCs/>
                <w:spacing w:val="-4"/>
                <w:w w:val="103"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№1.1. Технические требования на проектирование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58" w:type="dxa"/>
          <w:wAfter w:w="13" w:type="dxa"/>
          <w:trHeight w:val="375" w:hRule="atLeast"/>
          <w:jc w:val="center"/>
        </w:trPr>
        <w:tc>
          <w:tcPr>
            <w:tcW w:w="10178" w:type="dxa"/>
            <w:gridSpan w:val="4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№1.2. Перечень исходных данных и технических условий </w:t>
            </w:r>
            <w:r>
              <w:rPr>
                <w:color w:val="0000FF"/>
                <w:sz w:val="22"/>
                <w:szCs w:val="22"/>
              </w:rPr>
              <w:t>для выполнения работ</w:t>
            </w:r>
          </w:p>
          <w:p>
            <w:pPr>
              <w:rPr>
                <w:bCs/>
                <w:i/>
                <w:iCs/>
                <w:spacing w:val="-4"/>
                <w:w w:val="103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№1.3. Схема </w:t>
            </w:r>
            <w:r>
              <w:rPr>
                <w:color w:val="0000FF"/>
                <w:sz w:val="22"/>
                <w:szCs w:val="22"/>
              </w:rPr>
              <w:t>предполагаемой трассы проектируемой сети</w:t>
            </w:r>
            <w:r>
              <w:rPr>
                <w:sz w:val="22"/>
                <w:szCs w:val="22"/>
              </w:rPr>
              <w:t>.</w:t>
            </w:r>
          </w:p>
        </w:tc>
      </w:tr>
    </w:tbl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tbl>
      <w:tblPr>
        <w:tblStyle w:val="41"/>
        <w:tblW w:w="101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5"/>
        <w:gridCol w:w="28"/>
        <w:gridCol w:w="47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5" w:type="dxa"/>
          </w:tcPr>
          <w:p>
            <w:pPr>
              <w:pStyle w:val="216"/>
              <w:keepLines/>
              <w:spacing w:line="240" w:lineRule="auto"/>
              <w:ind w:right="15"/>
              <w:rPr>
                <w:rFonts w:ascii="Times New Roman" w:hAnsi="Times New Roman" w:eastAsia="Times New Roman"/>
                <w:sz w:val="22"/>
                <w:szCs w:val="22"/>
                <w:lang w:val="ru-RU" w:eastAsia="ru-RU"/>
              </w:rPr>
            </w:pPr>
            <w:bookmarkStart w:id="4" w:name="_GoBack"/>
            <w:bookmarkEnd w:id="4"/>
          </w:p>
        </w:tc>
        <w:tc>
          <w:tcPr>
            <w:tcW w:w="4814" w:type="dxa"/>
            <w:gridSpan w:val="2"/>
          </w:tcPr>
          <w:p>
            <w:pPr>
              <w:ind w:right="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№1.1.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5" w:type="dxa"/>
          </w:tcPr>
          <w:p>
            <w:pPr>
              <w:pStyle w:val="216"/>
              <w:keepLines/>
              <w:spacing w:line="240" w:lineRule="auto"/>
              <w:ind w:right="15"/>
              <w:rPr>
                <w:rFonts w:ascii="Times New Roman" w:hAnsi="Times New Roman" w:eastAsia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4814" w:type="dxa"/>
            <w:gridSpan w:val="2"/>
          </w:tcPr>
          <w:p>
            <w:pPr>
              <w:pStyle w:val="216"/>
              <w:keepLines/>
              <w:spacing w:line="360" w:lineRule="auto"/>
              <w:ind w:left="0" w:right="15" w:firstLine="0"/>
              <w:contextualSpacing/>
              <w:jc w:val="right"/>
              <w:rPr>
                <w:rFonts w:ascii="Times New Roman" w:hAnsi="Times New Roman" w:eastAsia="Times New Roman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en-US" w:eastAsia="ru-RU"/>
              </w:rPr>
              <w:t>к договору №__ от «__»_________2022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gridSpan w:val="2"/>
            <w:shd w:val="clear" w:color="auto" w:fill="auto"/>
          </w:tcPr>
          <w:p>
            <w:pPr>
              <w:spacing w:after="0" w:line="260" w:lineRule="auto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СОГЛАСОВАНО:</w:t>
            </w:r>
          </w:p>
          <w:p>
            <w:pPr>
              <w:spacing w:after="0" w:line="260" w:lineRule="auto"/>
              <w:rPr>
                <w:color w:val="auto"/>
                <w:sz w:val="22"/>
                <w:szCs w:val="22"/>
              </w:rPr>
            </w:pPr>
          </w:p>
          <w:p>
            <w:pPr>
              <w:spacing w:after="0" w:line="260" w:lineRule="auto"/>
              <w:rPr>
                <w:rStyle w:val="40"/>
                <w:sz w:val="22"/>
                <w:szCs w:val="22"/>
              </w:rPr>
            </w:pPr>
          </w:p>
        </w:tc>
        <w:tc>
          <w:tcPr>
            <w:tcW w:w="4786" w:type="dxa"/>
            <w:shd w:val="clear" w:color="auto" w:fill="auto"/>
          </w:tcPr>
          <w:p>
            <w:pPr>
              <w:spacing w:after="0" w:line="260" w:lineRule="auto"/>
              <w:jc w:val="righ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 xml:space="preserve"> УТВЕРЖДАЮ:</w:t>
            </w:r>
          </w:p>
          <w:p>
            <w:pPr>
              <w:spacing w:after="0" w:line="260" w:lineRule="auto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     Главный инженер ООО «БВК»</w:t>
            </w:r>
          </w:p>
          <w:p>
            <w:pPr>
              <w:spacing w:after="0" w:line="260" w:lineRule="auto"/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   ____________ О.В. Постоногова</w:t>
            </w:r>
          </w:p>
          <w:p>
            <w:pPr>
              <w:spacing w:after="0" w:line="260" w:lineRule="auto"/>
              <w:contextualSpacing/>
              <w:jc w:val="right"/>
              <w:rPr>
                <w:rStyle w:val="40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                                        </w:t>
            </w:r>
          </w:p>
        </w:tc>
      </w:tr>
    </w:tbl>
    <w:p>
      <w:pPr>
        <w:tabs>
          <w:tab w:val="left" w:pos="1044"/>
        </w:tabs>
        <w:ind w:left="-12"/>
        <w:jc w:val="right"/>
        <w:rPr>
          <w:b/>
          <w:sz w:val="22"/>
          <w:szCs w:val="22"/>
        </w:rPr>
      </w:pPr>
    </w:p>
    <w:p>
      <w:pPr>
        <w:spacing w:line="360" w:lineRule="auto"/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t>ТЕХНИЧЕСКИЕ ТРЕБОВАНИЯ НА ПРОЕКТИРОВАНИЕ</w:t>
      </w:r>
    </w:p>
    <w:p>
      <w:pPr>
        <w:spacing w:before="120"/>
        <w:contextualSpacing/>
        <w:jc w:val="center"/>
        <w:rPr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«</w:t>
      </w:r>
      <w:r>
        <w:rPr>
          <w:sz w:val="22"/>
          <w:szCs w:val="22"/>
        </w:rPr>
        <w:t>На выполнение работ по проектированию сетей водопровода для малоэтажной застройки в деревне Шарапы о сети водоснабжения Ду=600, для объекта: «Сети водоснабжения в д. Шарапы</w:t>
      </w:r>
      <w:r>
        <w:rPr>
          <w:color w:val="auto"/>
          <w:sz w:val="22"/>
          <w:szCs w:val="22"/>
        </w:rPr>
        <w:t>»</w:t>
      </w:r>
    </w:p>
    <w:p>
      <w:pPr>
        <w:spacing w:line="360" w:lineRule="auto"/>
        <w:contextualSpacing/>
        <w:jc w:val="center"/>
        <w:rPr>
          <w:sz w:val="22"/>
          <w:szCs w:val="22"/>
        </w:rPr>
      </w:pPr>
    </w:p>
    <w:p>
      <w:pPr>
        <w:spacing w:line="360" w:lineRule="auto"/>
        <w:contextualSpacing/>
        <w:jc w:val="center"/>
        <w:rPr>
          <w:sz w:val="22"/>
          <w:szCs w:val="22"/>
        </w:rPr>
      </w:pPr>
    </w:p>
    <w:sdt>
      <w:sdtPr>
        <w:rPr>
          <w:rFonts w:ascii="Times New Roman" w:hAnsi="Times New Roman" w:eastAsia="Times New Roman" w:cs="Times New Roman"/>
          <w:color w:val="000000"/>
          <w:sz w:val="22"/>
          <w:szCs w:val="22"/>
        </w:rPr>
        <w:id w:val="1192340138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 w:eastAsiaTheme="majorEastAsia"/>
          <w:b/>
          <w:bCs/>
          <w:color w:val="376092" w:themeColor="accent1" w:themeShade="BF"/>
          <w:sz w:val="22"/>
          <w:szCs w:val="22"/>
        </w:rPr>
      </w:sdtEndPr>
      <w:sdtContent>
        <w:sdt>
          <w:sdtPr>
            <w:rPr>
              <w:rFonts w:ascii="Times New Roman" w:hAnsi="Times New Roman" w:eastAsia="Times New Roman" w:cs="Times New Roman"/>
              <w:b/>
              <w:color w:val="000000"/>
              <w:sz w:val="22"/>
              <w:szCs w:val="22"/>
              <w:lang w:eastAsia="en-US"/>
            </w:rPr>
            <w:id w:val="1413046240"/>
            <w:docPartObj>
              <w:docPartGallery w:val="Table of Contents"/>
              <w:docPartUnique/>
            </w:docPartObj>
          </w:sdtPr>
          <w:sdtEndPr>
            <w:rPr>
              <w:rFonts w:ascii="Times New Roman" w:hAnsi="Times New Roman" w:cs="Times New Roman" w:eastAsiaTheme="minorEastAsia"/>
              <w:b/>
              <w:color w:val="auto"/>
              <w:sz w:val="22"/>
              <w:szCs w:val="22"/>
              <w:lang w:eastAsia="en-US"/>
            </w:rPr>
          </w:sdtEndPr>
          <w:sdtContent>
            <w:p>
              <w:pPr>
                <w:pStyle w:val="217"/>
                <w:rPr>
                  <w:rFonts w:ascii="Times New Roman" w:hAnsi="Times New Roman" w:cs="Times New Roman"/>
                  <w:color w:val="auto"/>
                  <w:sz w:val="22"/>
                  <w:szCs w:val="22"/>
                </w:rPr>
              </w:pPr>
              <w:r>
                <w:rPr>
                  <w:rFonts w:ascii="Times New Roman" w:hAnsi="Times New Roman" w:cs="Times New Roman"/>
                  <w:color w:val="auto"/>
                  <w:sz w:val="22"/>
                  <w:szCs w:val="22"/>
                </w:rPr>
                <w:t>Оглавление</w:t>
              </w:r>
            </w:p>
            <w:p>
              <w:pPr>
                <w:pStyle w:val="25"/>
                <w:rPr>
                  <w:sz w:val="22"/>
                  <w:szCs w:val="22"/>
                  <w:lang w:eastAsia="ru-RU"/>
                </w:rPr>
              </w:pPr>
              <w:r>
                <w:fldChar w:fldCharType="begin"/>
              </w:r>
              <w:r>
                <w:instrText xml:space="preserve"> HYPERLINK \l "_Toc519518549" </w:instrText>
              </w:r>
              <w:r>
                <w:fldChar w:fldCharType="separate"/>
              </w:r>
              <w:r>
                <w:rPr>
                  <w:rStyle w:val="38"/>
                  <w:color w:val="auto"/>
                  <w:sz w:val="22"/>
                  <w:szCs w:val="22"/>
                  <w:u w:val="none"/>
                </w:rPr>
                <w:t>1.</w:t>
              </w:r>
              <w:r>
                <w:rPr>
                  <w:sz w:val="22"/>
                  <w:szCs w:val="22"/>
                  <w:lang w:eastAsia="ru-RU"/>
                </w:rPr>
                <w:tab/>
              </w:r>
              <w:r>
                <w:rPr>
                  <w:rStyle w:val="38"/>
                  <w:color w:val="auto"/>
                  <w:sz w:val="22"/>
                  <w:szCs w:val="22"/>
                  <w:u w:val="none"/>
                </w:rPr>
                <w:t>Перечень принятых сокращений</w:t>
              </w:r>
              <w:r>
                <w:rPr>
                  <w:sz w:val="22"/>
                  <w:szCs w:val="22"/>
                </w:rPr>
                <w:tab/>
              </w:r>
              <w:r>
                <w:rPr>
                  <w:sz w:val="22"/>
                  <w:szCs w:val="22"/>
                </w:rPr>
                <w:fldChar w:fldCharType="end"/>
              </w:r>
              <w:r>
                <w:rPr>
                  <w:sz w:val="22"/>
                  <w:szCs w:val="22"/>
                </w:rPr>
                <w:t>7</w:t>
              </w:r>
            </w:p>
            <w:p>
              <w:pPr>
                <w:pStyle w:val="25"/>
                <w:rPr>
                  <w:sz w:val="22"/>
                  <w:szCs w:val="22"/>
                  <w:lang w:eastAsia="ru-RU"/>
                </w:rPr>
              </w:pPr>
              <w:r>
                <w:fldChar w:fldCharType="begin"/>
              </w:r>
              <w:r>
                <w:instrText xml:space="preserve"> HYPERLINK \l "_Toc519518552" </w:instrText>
              </w:r>
              <w:r>
                <w:fldChar w:fldCharType="separate"/>
              </w:r>
              <w:r>
                <w:rPr>
                  <w:rStyle w:val="38"/>
                  <w:color w:val="auto"/>
                  <w:sz w:val="22"/>
                  <w:szCs w:val="22"/>
                  <w:u w:val="none"/>
                </w:rPr>
                <w:t>2.</w:t>
              </w:r>
              <w:r>
                <w:rPr>
                  <w:sz w:val="22"/>
                  <w:szCs w:val="22"/>
                  <w:lang w:eastAsia="ru-RU"/>
                </w:rPr>
                <w:tab/>
              </w:r>
              <w:r>
                <w:rPr>
                  <w:rStyle w:val="38"/>
                  <w:color w:val="auto"/>
                  <w:sz w:val="22"/>
                  <w:szCs w:val="22"/>
                  <w:u w:val="none"/>
                </w:rPr>
                <w:t>Общие сведения и пояснения</w:t>
              </w:r>
              <w:r>
                <w:rPr>
                  <w:sz w:val="22"/>
                  <w:szCs w:val="22"/>
                </w:rPr>
                <w:tab/>
              </w:r>
              <w:r>
                <w:rPr>
                  <w:sz w:val="22"/>
                  <w:szCs w:val="22"/>
                </w:rPr>
                <w:fldChar w:fldCharType="end"/>
              </w:r>
              <w:r>
                <w:rPr>
                  <w:sz w:val="22"/>
                  <w:szCs w:val="22"/>
                </w:rPr>
                <w:t>7</w:t>
              </w:r>
            </w:p>
            <w:p>
              <w:pPr>
                <w:pStyle w:val="25"/>
                <w:rPr>
                  <w:sz w:val="22"/>
                  <w:szCs w:val="22"/>
                  <w:lang w:eastAsia="ru-RU"/>
                </w:rPr>
              </w:pPr>
              <w:r>
                <w:fldChar w:fldCharType="begin"/>
              </w:r>
              <w:r>
                <w:instrText xml:space="preserve"> HYPERLINK \l "_Toc519518553" </w:instrText>
              </w:r>
              <w:r>
                <w:fldChar w:fldCharType="separate"/>
              </w:r>
              <w:r>
                <w:rPr>
                  <w:rStyle w:val="38"/>
                  <w:color w:val="auto"/>
                  <w:sz w:val="22"/>
                  <w:szCs w:val="22"/>
                  <w:u w:val="none"/>
                </w:rPr>
                <w:t>3.</w:t>
              </w:r>
              <w:r>
                <w:rPr>
                  <w:sz w:val="22"/>
                  <w:szCs w:val="22"/>
                  <w:lang w:eastAsia="ru-RU"/>
                </w:rPr>
                <w:tab/>
              </w:r>
              <w:r>
                <w:rPr>
                  <w:rStyle w:val="38"/>
                  <w:color w:val="auto"/>
                  <w:sz w:val="22"/>
                  <w:szCs w:val="22"/>
                  <w:u w:val="none"/>
                </w:rPr>
                <w:t>Исходные данные</w:t>
              </w:r>
              <w:r>
                <w:rPr>
                  <w:sz w:val="22"/>
                  <w:szCs w:val="22"/>
                </w:rPr>
                <w:tab/>
              </w:r>
              <w:r>
                <w:rPr>
                  <w:sz w:val="22"/>
                  <w:szCs w:val="22"/>
                </w:rPr>
                <w:fldChar w:fldCharType="end"/>
              </w:r>
              <w:r>
                <w:rPr>
                  <w:sz w:val="22"/>
                  <w:szCs w:val="22"/>
                </w:rPr>
                <w:t>7</w:t>
              </w:r>
            </w:p>
            <w:p>
              <w:pPr>
                <w:pStyle w:val="25"/>
                <w:rPr>
                  <w:sz w:val="22"/>
                  <w:szCs w:val="22"/>
                </w:rPr>
              </w:pPr>
              <w:r>
                <w:fldChar w:fldCharType="begin"/>
              </w:r>
              <w:r>
                <w:instrText xml:space="preserve"> HYPERLINK \l "_Toc519518567" </w:instrText>
              </w:r>
              <w:r>
                <w:fldChar w:fldCharType="separate"/>
              </w:r>
              <w:r>
                <w:rPr>
                  <w:sz w:val="22"/>
                  <w:szCs w:val="22"/>
                </w:rPr>
                <w:t>4</w:t>
              </w:r>
              <w:r>
                <w:rPr>
                  <w:rStyle w:val="38"/>
                  <w:color w:val="auto"/>
                  <w:sz w:val="22"/>
                  <w:szCs w:val="22"/>
                  <w:u w:val="none"/>
                </w:rPr>
                <w:t>.</w:t>
              </w:r>
              <w:r>
                <w:rPr>
                  <w:sz w:val="22"/>
                  <w:szCs w:val="22"/>
                  <w:lang w:eastAsia="ru-RU"/>
                </w:rPr>
                <w:tab/>
              </w:r>
              <w:r>
                <w:rPr>
                  <w:rStyle w:val="38"/>
                  <w:color w:val="auto"/>
                  <w:sz w:val="22"/>
                  <w:szCs w:val="22"/>
                  <w:u w:val="none"/>
                </w:rPr>
                <w:t>Требования к разработке сметной документации</w:t>
              </w:r>
              <w:r>
                <w:rPr>
                  <w:sz w:val="22"/>
                  <w:szCs w:val="22"/>
                </w:rPr>
                <w:tab/>
              </w:r>
              <w:r>
                <w:rPr>
                  <w:sz w:val="22"/>
                  <w:szCs w:val="22"/>
                </w:rPr>
                <w:fldChar w:fldCharType="end"/>
              </w:r>
              <w:r>
                <w:rPr>
                  <w:sz w:val="22"/>
                  <w:szCs w:val="22"/>
                </w:rPr>
                <w:t>8</w:t>
              </w:r>
            </w:p>
            <w:p>
              <w:pPr>
                <w:pStyle w:val="25"/>
                <w:rPr>
                  <w:sz w:val="22"/>
                  <w:szCs w:val="22"/>
                </w:rPr>
              </w:pPr>
              <w:r>
                <w:rPr>
                  <w:sz w:val="22"/>
                  <w:szCs w:val="22"/>
                </w:rPr>
                <w:t>5.  Требования к применяемым материалам………………………………….………..................8</w:t>
              </w:r>
            </w:p>
            <w:p>
              <w:pPr>
                <w:pStyle w:val="25"/>
                <w:rPr>
                  <w:sz w:val="22"/>
                  <w:szCs w:val="22"/>
                </w:rPr>
              </w:pPr>
              <w:r>
                <w:rPr>
                  <w:sz w:val="22"/>
                  <w:szCs w:val="22"/>
                </w:rPr>
                <w:t>6.  Требования к организациям,  выполняющим геодезические съемки…………..................10</w:t>
              </w:r>
              <w:r>
                <w:fldChar w:fldCharType="begin"/>
              </w:r>
              <w:r>
                <w:instrText xml:space="preserve"> HYPERLINK \l "_Toc519518571" </w:instrText>
              </w:r>
              <w:r>
                <w:fldChar w:fldCharType="separate"/>
              </w:r>
              <w:r>
                <w:fldChar w:fldCharType="end"/>
              </w:r>
            </w:p>
            <w:p>
              <w:pPr>
                <w:pStyle w:val="25"/>
                <w:rPr>
                  <w:sz w:val="22"/>
                  <w:szCs w:val="22"/>
                  <w:lang w:eastAsia="ru-RU"/>
                </w:rPr>
              </w:pPr>
              <w:r>
                <w:rPr>
                  <w:sz w:val="22"/>
                  <w:szCs w:val="22"/>
                </w:rPr>
                <w:fldChar w:fldCharType="begin"/>
              </w:r>
              <w:r>
                <w:rPr>
                  <w:sz w:val="22"/>
                  <w:szCs w:val="22"/>
                </w:rPr>
                <w:instrText xml:space="preserve"> TOC \o "1-3" \h \z \u </w:instrText>
              </w:r>
              <w:r>
                <w:rPr>
                  <w:sz w:val="22"/>
                  <w:szCs w:val="22"/>
                </w:rPr>
                <w:fldChar w:fldCharType="separate"/>
              </w:r>
            </w:p>
            <w:p>
              <w:pPr>
                <w:pStyle w:val="25"/>
                <w:rPr>
                  <w:sz w:val="22"/>
                  <w:szCs w:val="22"/>
                </w:rPr>
              </w:pPr>
              <w:r>
                <w:rPr>
                  <w:sz w:val="22"/>
                  <w:szCs w:val="22"/>
                </w:rPr>
                <w:fldChar w:fldCharType="end"/>
              </w:r>
            </w:p>
          </w:sdtContent>
        </w:sdt>
        <w:p>
          <w:pPr>
            <w:pStyle w:val="217"/>
            <w:rPr>
              <w:rFonts w:ascii="Times New Roman" w:hAnsi="Times New Roman" w:cs="Times New Roman"/>
              <w:b/>
              <w:bCs/>
              <w:sz w:val="22"/>
              <w:szCs w:val="22"/>
            </w:rPr>
          </w:pPr>
        </w:p>
      </w:sdtContent>
    </w:sdt>
    <w:p>
      <w:pPr>
        <w:pStyle w:val="21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br w:type="page"/>
      </w:r>
    </w:p>
    <w:p>
      <w:pPr>
        <w:pStyle w:val="3"/>
        <w:numPr>
          <w:ilvl w:val="0"/>
          <w:numId w:val="12"/>
        </w:numPr>
        <w:rPr>
          <w:sz w:val="22"/>
          <w:szCs w:val="22"/>
        </w:rPr>
      </w:pPr>
      <w:bookmarkStart w:id="0" w:name="_Toc519518549"/>
      <w:r>
        <w:rPr>
          <w:sz w:val="22"/>
          <w:szCs w:val="22"/>
        </w:rPr>
        <w:t>Перечень принятых сокращений</w:t>
      </w:r>
      <w:bookmarkEnd w:id="0"/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АРМ – автоматизированное рабочее место;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АСКУЭ – автоматизированная система коммерческого учета электроэнергии;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АСТУЭ – автоматизированная система технического учета электроэнергии;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АСУ – автоматизированная система управления;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АСУ ТП – автоматизированная система управления технологическими процессами;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АСУЭ - автоматизированная система управления электроснабжением;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АУПТ – автоматическая установка пожаротушения;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АУПС – автоматическая установка пожарной сигнализации;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БД – база данных;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ВК – водоснабжение и канализация;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ВЛ – воздушная линия;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ГО – гражданская оборона;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ГОСТ – государственный стандарт;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ГОСТ Р – государственный стандарт РФ;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ДЭС – дизельная электростанция;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ЕСКД – единая система конструкторской документации;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ЕСТД – единая система технологической документации;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ЗИП – запасные части, инструменты и приспособления;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ЗРА – запорно-регулирующая арматура;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ЗСО – зона санитарной охраны;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ИБП – система бесперебойного питания;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ИТМ – инженерно-технические мероприятия;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ИСО – интегрированная система охраны;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ИУС – информационно-управляющая система;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КИПиА – контрольно-измерительные приборы и автоматика;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КЛ – кабельная линия;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КОС – канализационные очистные сооружения;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КТП – комплексная трансформаторная подстанция;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ЛСР – локальный сметный расчет;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МД – методическая документация;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МТР – материально технический ресурс;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НА – насосный агрегат;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НД – нормативная документация;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НДС – нормативно допустимое содержание;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НИОКР – научно-исследовательские и опытно-конструкторские работы;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НС – насосная станция;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УФ – ультрафиолетовое излучение;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ИК – инфракрасное излучение; 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ОПИ – общераспространенные полезные ископаемые;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ПАЗ – противоаварийная защита;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ПД – проектная документация;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ПДВ – предельно допустимый выброс;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ПДК – предельно допустимая концентрация;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ПЖО – пожарная охрана;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ПИР – проектно-изыскательные работы;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ПК – персональный компьютер;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ПЛК – программируемый логический контроллер;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ПО – программное обеспечение;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ПОС – проект организации строительства;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ПТК – программно-технический комплекс;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ПУЭ – Правила устройства электроустановок;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ПЧ – преобразователь частоты;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РЭ – руководство по эксплуатации;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РУ – распределительное устройство;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СД – синхронный электродвигатель;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СИЗ – средства индивидуальной защиты;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СМР – строительно-монтажные работы;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СПТ – система пожаротушения;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СОУЭ – система оповещения и управления эвакуацией людей при пожаре;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СУП – система уравнивания потенциалов;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ТЗ – техническое задание;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ТТ – технические требования;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УПП – устройство плавного пуска;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УЗИП – устройство защиты от перенапряжения;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ФГИС ЦС – Федеральная государственная информационная система ценообразования в строительстве;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ФОТ – фонд оплаты труда;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ЧС – чрезвычайная ситуация;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bCs/>
          <w:sz w:val="22"/>
          <w:szCs w:val="22"/>
        </w:rPr>
      </w:pPr>
      <w:r>
        <w:rPr>
          <w:sz w:val="22"/>
          <w:szCs w:val="22"/>
        </w:rPr>
        <w:t>ЭД – эксплуатационная документация</w:t>
      </w:r>
      <w:r>
        <w:rPr>
          <w:bCs/>
          <w:sz w:val="22"/>
          <w:szCs w:val="22"/>
        </w:rPr>
        <w:t>.</w:t>
      </w:r>
    </w:p>
    <w:p>
      <w:pPr>
        <w:pStyle w:val="3"/>
        <w:numPr>
          <w:ilvl w:val="0"/>
          <w:numId w:val="12"/>
        </w:numPr>
        <w:rPr>
          <w:sz w:val="22"/>
          <w:szCs w:val="22"/>
        </w:rPr>
      </w:pPr>
      <w:bookmarkStart w:id="1" w:name="_Toc519518552"/>
      <w:r>
        <w:rPr>
          <w:sz w:val="22"/>
          <w:szCs w:val="22"/>
        </w:rPr>
        <w:t>Общие сведения и пояснения</w:t>
      </w:r>
      <w:bookmarkEnd w:id="1"/>
    </w:p>
    <w:p>
      <w:pPr>
        <w:pStyle w:val="87"/>
        <w:tabs>
          <w:tab w:val="left" w:pos="567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Целью данного раздела является разработка проектной и рабочей документаций для дальнейшего производства работ по строительству объекта.</w:t>
      </w:r>
    </w:p>
    <w:p>
      <w:pPr>
        <w:pStyle w:val="87"/>
        <w:tabs>
          <w:tab w:val="left" w:pos="567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К общим сведениям объекта относятся: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bCs/>
          <w:sz w:val="22"/>
          <w:szCs w:val="22"/>
        </w:rPr>
        <w:t>Краткая характеристика объекта;</w:t>
      </w:r>
    </w:p>
    <w:p>
      <w:pPr>
        <w:pStyle w:val="3"/>
        <w:numPr>
          <w:ilvl w:val="0"/>
          <w:numId w:val="12"/>
        </w:numPr>
        <w:rPr>
          <w:sz w:val="22"/>
          <w:szCs w:val="22"/>
        </w:rPr>
      </w:pPr>
      <w:bookmarkStart w:id="2" w:name="_Toc519518553"/>
      <w:r>
        <w:rPr>
          <w:sz w:val="22"/>
          <w:szCs w:val="22"/>
        </w:rPr>
        <w:t>Исходные данные</w:t>
      </w:r>
      <w:bookmarkEnd w:id="2"/>
    </w:p>
    <w:p>
      <w:pPr>
        <w:tabs>
          <w:tab w:val="left" w:pos="567"/>
        </w:tabs>
        <w:spacing w:after="0" w:line="260" w:lineRule="auto"/>
        <w:ind w:firstLine="567"/>
        <w:contextualSpacing/>
        <w:rPr>
          <w:sz w:val="22"/>
          <w:szCs w:val="22"/>
        </w:rPr>
      </w:pPr>
      <w:r>
        <w:rPr>
          <w:sz w:val="22"/>
          <w:szCs w:val="22"/>
        </w:rPr>
        <w:t>При разработке проектов используются следующие входные данные: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spacing w:after="0" w:line="260" w:lineRule="auto"/>
        <w:ind w:left="0" w:firstLine="28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Результаты обследования действующего оборудования и технологических коммуникаций;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spacing w:after="0" w:line="260" w:lineRule="auto"/>
        <w:ind w:left="0" w:firstLine="28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Требования к режиму работы и технологии производства;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Другие исходные данные.</w:t>
      </w:r>
    </w:p>
    <w:p>
      <w:pPr>
        <w:pStyle w:val="3"/>
        <w:numPr>
          <w:ilvl w:val="0"/>
          <w:numId w:val="12"/>
        </w:numPr>
        <w:rPr>
          <w:sz w:val="22"/>
          <w:szCs w:val="22"/>
        </w:rPr>
      </w:pPr>
      <w:bookmarkStart w:id="3" w:name="_Toc519518567"/>
      <w:r>
        <w:rPr>
          <w:sz w:val="22"/>
          <w:szCs w:val="22"/>
        </w:rPr>
        <w:t>Требования к разработке сметной документации</w:t>
      </w:r>
      <w:bookmarkEnd w:id="3"/>
    </w:p>
    <w:p>
      <w:pPr>
        <w:spacing w:after="0" w:line="260" w:lineRule="auto"/>
        <w:ind w:firstLine="567"/>
        <w:contextualSpacing/>
        <w:rPr>
          <w:sz w:val="22"/>
          <w:szCs w:val="22"/>
        </w:rPr>
      </w:pPr>
      <w:r>
        <w:rPr>
          <w:sz w:val="22"/>
          <w:szCs w:val="22"/>
        </w:rPr>
        <w:t>К разработке сметной документации должны применяться следующие требования:</w:t>
      </w:r>
    </w:p>
    <w:p>
      <w:pPr>
        <w:pStyle w:val="87"/>
        <w:numPr>
          <w:ilvl w:val="0"/>
          <w:numId w:val="14"/>
        </w:numPr>
        <w:tabs>
          <w:tab w:val="left" w:pos="284"/>
        </w:tabs>
        <w:spacing w:after="0" w:line="260" w:lineRule="auto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Сметная документация разрабатывается в соответствии с требованиями данных рекомендаций, с учетом действующих на момент разработки изменений и дополнений, а также регламентирующих документов и писем Минрегиона России и корпоративных требований Компании по определению отдельных видов работ и затрат в сметной документации; 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Состав и объем сметной документации, должен быть достаточным для проведения всех необходимых согласований контролирующих организаций и городских служб;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Наименования объектов и относящихся к ним объектных смет указывается в соответствии с наименованием в экспликации генплана (генпланов) проекта.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Уровень фонда оплаты труда и стоимость эксплуатации машин и механизмов определяются в соответствии с действующими рекомендациями Компании;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 состав сводного сметного расчета в обязательном порядке включаются: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пояснительная записка;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таблица с удельными показателями единичной стоимости объектов строительства;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обосновывающие документы, подтверждающие стоимость прочих работ и затрат;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сводная укрупненная выборка ресурсов;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 состав раздела «Обосновывающие материалы» должны быть включены: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расчет и калькуляции транспортных расходов и сметной стоимости оборудования и материалов согласно утвержденной транспортной схеме;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расчет часовых ставок оплаты труда и стоимости эксплуатации машин и механизмов;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расчет индексов пересчета от базового уровня цен базисного района строительства к текущему уровню цен фактического района строительства;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обосновывающие материалы отпускных цен на материально технический ресурс и оборудование по опросным листам, протоколам согласования цен заводов-поставщиков, другие необходимые материалы по включенным в сметную документацию затратам.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Для объектов линейных по ПП, ИП и объектам технологических присоединений (простой тариф) расчет выполняется следующим образом:</w:t>
      </w:r>
    </w:p>
    <w:p>
      <w:pPr>
        <w:pStyle w:val="87"/>
        <w:numPr>
          <w:ilvl w:val="0"/>
          <w:numId w:val="15"/>
        </w:numPr>
        <w:ind w:left="0" w:firstLine="56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Для периода до ввода федеральной государственной информационной системы ценообразования в строительстве (ФГИС ЦС) при разработке сметной документации применять сметные нормативы, внесенные в федеральный реестр сметных нормативов учетом региона;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 </w:t>
      </w:r>
      <w:r>
        <w:rPr>
          <w:sz w:val="22"/>
          <w:szCs w:val="22"/>
        </w:rPr>
        <w:t>сводный</w:t>
      </w:r>
      <w:r>
        <w:rPr>
          <w:bCs/>
          <w:sz w:val="22"/>
          <w:szCs w:val="22"/>
        </w:rPr>
        <w:t xml:space="preserve"> сметный расчет (СР) включать следующие затраты: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Затраты по отводу земельного участка;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Затраты по разбивке основных осей зданий и сооружений, оси трассы трубопроводов;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Возмещение потерь после сноса зеленых насаждений;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Производство в зимнее время года согласно ГСН 81-05-02-2007;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Затраты на пуско-наладочные работы;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Затраты на экспертизу проектной документации;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Непредвиденные расходы в размере 2%;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bCs/>
          <w:sz w:val="22"/>
          <w:szCs w:val="22"/>
        </w:rPr>
      </w:pPr>
      <w:r>
        <w:rPr>
          <w:sz w:val="22"/>
          <w:szCs w:val="22"/>
        </w:rPr>
        <w:t>Затраты</w:t>
      </w:r>
      <w:r>
        <w:rPr>
          <w:bCs/>
          <w:sz w:val="22"/>
          <w:szCs w:val="22"/>
        </w:rPr>
        <w:t>, связанные с уплатой налога на добавленную стоимость (НДС);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 </w:t>
      </w:r>
      <w:r>
        <w:rPr>
          <w:sz w:val="22"/>
          <w:szCs w:val="22"/>
        </w:rPr>
        <w:t>локальные</w:t>
      </w:r>
      <w:r>
        <w:rPr>
          <w:bCs/>
          <w:sz w:val="22"/>
          <w:szCs w:val="22"/>
        </w:rPr>
        <w:t xml:space="preserve"> сметные расчеты (ЛСР) в итогах включать следующие затраты: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Коэффициенты, учитывающие условия производства работ, при наличии обоснования факторов в ПОС и ПЗ, согласно методических указаний, внесенных в федеральный реестр сметных нормативов;</w:t>
      </w:r>
    </w:p>
    <w:p>
      <w:pPr>
        <w:pStyle w:val="87"/>
        <w:numPr>
          <w:ilvl w:val="0"/>
          <w:numId w:val="13"/>
        </w:numPr>
        <w:tabs>
          <w:tab w:val="left" w:pos="567"/>
          <w:tab w:val="left" w:pos="1134"/>
          <w:tab w:val="clear" w:pos="1985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Коэффициенты к затратам на оплату труда персонала; затратам на эксплуатацию строительных машин и механизмов; затратам труда машинистов (по реконструкции объектов капитального строительства), при наличии обоснований в ПОС и ПЗ, согласно методических указаний, внесенных в федеральный реестр сметных нормативов;</w:t>
      </w:r>
    </w:p>
    <w:p>
      <w:pPr>
        <w:pStyle w:val="3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Требования к применяемым материалам</w:t>
      </w:r>
    </w:p>
    <w:p>
      <w:pPr>
        <w:spacing w:after="0" w:line="260" w:lineRule="auto"/>
        <w:ind w:firstLine="426"/>
        <w:jc w:val="both"/>
        <w:rPr>
          <w:color w:val="auto"/>
          <w:sz w:val="22"/>
          <w:szCs w:val="22"/>
        </w:rPr>
      </w:pPr>
      <w:r>
        <w:rPr>
          <w:sz w:val="22"/>
          <w:szCs w:val="22"/>
        </w:rPr>
        <w:t xml:space="preserve">Принятие технических решений должно осуществляется на вариантной основе, на основе принципа сравнения и выбора наилучшего технического решения по определенному набору критериев сравнения (стоимость оборудования и монтажа, энергоэффективность используемые материалы и технологии, долговечность, ремонтопригодность, надежность, эксплуатационные затраты) – наиболее значимых для данного решения. При этом основным критерием выбора наилучшего технического решения должен быть приведенный/удельный экономический критерий, который должен быть охарактеризован величинами единовременных (капитальных) и возобновляемых (эксплуатационных) затрат – стоимостью владения оборудованием </w:t>
      </w:r>
      <w:r>
        <w:rPr>
          <w:color w:val="auto"/>
          <w:sz w:val="22"/>
          <w:szCs w:val="22"/>
          <w:lang w:eastAsia="en-US"/>
        </w:rPr>
        <w:t>на основании утвержденной методикой Приказа АО «РКС-Менеджмент» №14 от 05.02.2020г. «Об утверждении единой технической политики в области водоснабжения и водоотведения».</w:t>
      </w:r>
    </w:p>
    <w:p>
      <w:pPr>
        <w:pStyle w:val="87"/>
        <w:numPr>
          <w:ilvl w:val="0"/>
          <w:numId w:val="16"/>
        </w:numPr>
        <w:spacing w:after="0" w:line="260" w:lineRule="auto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Применять на сетях водопровода: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iCs/>
          <w:sz w:val="22"/>
          <w:szCs w:val="22"/>
        </w:rPr>
        <w:t>диаметром до 100мм – трубы из высокопрочного чугуна (ВЧШГ) с внутренним</w:t>
      </w:r>
      <w:r>
        <w:rPr>
          <w:sz w:val="22"/>
          <w:szCs w:val="22"/>
        </w:rPr>
        <w:t xml:space="preserve"> цементно-песчаным покрытием, полиэтиленовые марки ПЭ-100 </w:t>
      </w:r>
      <w:r>
        <w:rPr>
          <w:sz w:val="22"/>
          <w:szCs w:val="22"/>
          <w:lang w:val="en-US"/>
        </w:rPr>
        <w:t>SDR</w:t>
      </w:r>
      <w:r>
        <w:rPr>
          <w:sz w:val="22"/>
          <w:szCs w:val="22"/>
        </w:rPr>
        <w:t xml:space="preserve"> 17, или </w:t>
      </w:r>
      <w:r>
        <w:rPr>
          <w:iCs/>
          <w:sz w:val="22"/>
          <w:szCs w:val="22"/>
        </w:rPr>
        <w:t>напорные из не пластифицированного поливинилхлорида.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iCs/>
          <w:sz w:val="22"/>
          <w:szCs w:val="22"/>
        </w:rPr>
        <w:t>диаметром 100-350мм – трубы из высокопрочного чугуна (ВЧШГ) с внутренним</w:t>
      </w:r>
      <w:r>
        <w:rPr>
          <w:sz w:val="22"/>
          <w:szCs w:val="22"/>
        </w:rPr>
        <w:t xml:space="preserve"> цементно-песчаным покрытием, полиэтиленовые марки ПЭ-100 </w:t>
      </w:r>
      <w:r>
        <w:rPr>
          <w:sz w:val="22"/>
          <w:szCs w:val="22"/>
          <w:lang w:val="en-US"/>
        </w:rPr>
        <w:t>SDR</w:t>
      </w:r>
      <w:r>
        <w:rPr>
          <w:sz w:val="22"/>
          <w:szCs w:val="22"/>
        </w:rPr>
        <w:t xml:space="preserve"> 17, или </w:t>
      </w:r>
      <w:r>
        <w:rPr>
          <w:iCs/>
          <w:sz w:val="22"/>
          <w:szCs w:val="22"/>
        </w:rPr>
        <w:t>напорные из не пластифицированного поливинилхлорида.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iCs/>
          <w:sz w:val="22"/>
          <w:szCs w:val="22"/>
        </w:rPr>
        <w:t>диаметром 400-800мм – трубы из высокопрочного чугуна (ВЧШГ) с внутренним</w:t>
      </w:r>
      <w:r>
        <w:rPr>
          <w:sz w:val="22"/>
          <w:szCs w:val="22"/>
        </w:rPr>
        <w:t xml:space="preserve"> цементно-песчаным покрытием, или полиэтиленовые марки ПЭ-100 </w:t>
      </w:r>
      <w:r>
        <w:rPr>
          <w:sz w:val="22"/>
          <w:szCs w:val="22"/>
          <w:lang w:val="en-US"/>
        </w:rPr>
        <w:t>SDR</w:t>
      </w:r>
      <w:r>
        <w:rPr>
          <w:sz w:val="22"/>
          <w:szCs w:val="22"/>
        </w:rPr>
        <w:t xml:space="preserve"> 17.</w:t>
      </w:r>
    </w:p>
    <w:p>
      <w:pPr>
        <w:spacing w:after="0" w:line="260" w:lineRule="auto"/>
        <w:ind w:firstLine="425"/>
        <w:jc w:val="both"/>
        <w:rPr>
          <w:sz w:val="22"/>
          <w:szCs w:val="22"/>
        </w:rPr>
      </w:pPr>
      <w:r>
        <w:rPr>
          <w:sz w:val="22"/>
          <w:szCs w:val="22"/>
        </w:rPr>
        <w:t>Не допускается параллельная прокладка сетей (за исключением транзитных трубопроводов и разводящей сети). При невозможности демонтажа исключаемых из эксплуатации трубопроводов обязательными являются мероприятия по их забутовке. Демонтаж колодцев является обязательным.</w:t>
      </w:r>
    </w:p>
    <w:p>
      <w:pPr>
        <w:spacing w:after="0" w:line="260" w:lineRule="auto"/>
        <w:ind w:firstLine="425"/>
        <w:jc w:val="both"/>
        <w:rPr>
          <w:color w:val="0000FF"/>
          <w:sz w:val="22"/>
          <w:szCs w:val="22"/>
          <w:lang w:eastAsia="en-US"/>
        </w:rPr>
      </w:pPr>
      <w:r>
        <w:rPr>
          <w:color w:val="auto"/>
          <w:sz w:val="22"/>
          <w:szCs w:val="22"/>
          <w:lang w:eastAsia="en-US"/>
        </w:rPr>
        <w:t>При проектировании полиэтиленовых трубопроводов и трубопроводов из не пластифицированного поливинилхлорида предусмотреть «провод-спутник» из стальной проволоки диаметром - 6 мм (без сигнальной ленты).</w:t>
      </w:r>
      <w:r>
        <w:rPr>
          <w:color w:val="0000FF"/>
          <w:sz w:val="22"/>
          <w:szCs w:val="22"/>
          <w:lang w:eastAsia="en-US"/>
        </w:rPr>
        <w:t xml:space="preserve"> 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iCs/>
          <w:sz w:val="22"/>
          <w:szCs w:val="22"/>
        </w:rPr>
        <w:t>Корпус из высокопрочного чугуна, защищенного со всех сторон от коррозии эпоксидно-порошковым покрытием</w:t>
      </w:r>
      <w:r>
        <w:rPr>
          <w:sz w:val="22"/>
          <w:szCs w:val="22"/>
        </w:rPr>
        <w:t xml:space="preserve"> (исключающее коррозию в течение всего срока службы);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Класс герметичности – А, ГОСТ 9544-93;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iCs/>
          <w:sz w:val="22"/>
          <w:szCs w:val="22"/>
        </w:rPr>
        <w:t>С не выдвижным шпинделем;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iCs/>
          <w:sz w:val="22"/>
          <w:szCs w:val="22"/>
        </w:rPr>
        <w:t>Шпиндель из нержавеющей стали;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Антикоррозийное покрытие корпуса внутреннее и внешнее эпоксидное покрытие диска, препятствующее образованию солевых отложений (гигиенический сертификат для применения в системе хозяйственно-питьевого водоснабжения) и исключающее коррозию и развитие бактерий в течение всего срока службы;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iCs/>
          <w:sz w:val="22"/>
          <w:szCs w:val="22"/>
        </w:rPr>
        <w:t>С обрезиненным клином, полностью покрытого вулканизированным каучуком марки EPDM;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Уплотнение EPDM (ethylene propylene diene monomer rubber или этилен-пропиленовый каучук) или полный аналог по химико-физическим свойствам;</w:t>
      </w:r>
    </w:p>
    <w:p>
      <w:pPr>
        <w:pStyle w:val="87"/>
        <w:numPr>
          <w:ilvl w:val="0"/>
          <w:numId w:val="14"/>
        </w:numPr>
        <w:tabs>
          <w:tab w:val="left" w:pos="284"/>
        </w:tabs>
        <w:spacing w:after="0" w:line="260" w:lineRule="auto"/>
        <w:ind w:left="0" w:firstLine="0"/>
        <w:jc w:val="both"/>
        <w:rPr>
          <w:sz w:val="22"/>
          <w:szCs w:val="22"/>
        </w:rPr>
      </w:pPr>
      <w:r>
        <w:rPr>
          <w:iCs/>
          <w:sz w:val="22"/>
          <w:szCs w:val="22"/>
        </w:rPr>
        <w:t>С электроприводом, механическим редуктором или ручные в зависимости от частоты использования и диаметра.</w:t>
      </w:r>
    </w:p>
    <w:p>
      <w:pPr>
        <w:spacing w:after="0" w:line="260" w:lineRule="auto"/>
        <w:ind w:firstLine="426"/>
        <w:jc w:val="both"/>
        <w:rPr>
          <w:sz w:val="22"/>
          <w:szCs w:val="22"/>
          <w:u w:val="single"/>
        </w:rPr>
      </w:pPr>
      <w:r>
        <w:rPr>
          <w:iCs/>
          <w:sz w:val="22"/>
          <w:szCs w:val="22"/>
          <w:u w:val="single"/>
        </w:rPr>
        <w:t>Либо задвижки с</w:t>
      </w:r>
      <w:r>
        <w:rPr>
          <w:sz w:val="22"/>
          <w:szCs w:val="22"/>
          <w:u w:val="single"/>
        </w:rPr>
        <w:t>тальные клиновые с характеристиками:</w:t>
      </w:r>
    </w:p>
    <w:p>
      <w:pPr>
        <w:pStyle w:val="87"/>
        <w:numPr>
          <w:ilvl w:val="0"/>
          <w:numId w:val="14"/>
        </w:numPr>
        <w:tabs>
          <w:tab w:val="left" w:pos="284"/>
        </w:tabs>
        <w:spacing w:after="0" w:line="260" w:lineRule="auto"/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Корпус из стали с уплотнением из нержавеющей стали;</w:t>
      </w:r>
    </w:p>
    <w:p>
      <w:pPr>
        <w:pStyle w:val="87"/>
        <w:numPr>
          <w:ilvl w:val="0"/>
          <w:numId w:val="14"/>
        </w:numPr>
        <w:tabs>
          <w:tab w:val="left" w:pos="284"/>
        </w:tabs>
        <w:spacing w:after="0" w:line="260" w:lineRule="auto"/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Материал корпуса, крышки - сталь углеродистая, сталь 25Л;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Материал клина - сталь углеродистая, сталь 25Л;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Шпиндель - нержавеющая сталь 20Х13Л;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Гайка клина - бронза БрАж9-4;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Уплотнение корпуса и клина - нержавеющая сталь;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Перекачиваемая среда - вода и пар, нефтепродукты от -40 до 425;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Присоединительные фланцы по ГОСТ</w:t>
      </w:r>
      <w:r>
        <w:rPr>
          <w:iCs/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>33259-2015;</w:t>
      </w:r>
    </w:p>
    <w:p>
      <w:pPr>
        <w:pStyle w:val="87"/>
        <w:numPr>
          <w:ilvl w:val="0"/>
          <w:numId w:val="14"/>
        </w:numPr>
        <w:tabs>
          <w:tab w:val="left" w:pos="284"/>
        </w:tabs>
        <w:spacing w:after="0" w:line="260" w:lineRule="auto"/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Ответные фланцы по ГОСТ </w:t>
      </w:r>
      <w:r>
        <w:rPr>
          <w:color w:val="auto"/>
          <w:sz w:val="22"/>
          <w:szCs w:val="22"/>
        </w:rPr>
        <w:t>33259-2015;</w:t>
      </w:r>
    </w:p>
    <w:p>
      <w:pPr>
        <w:pStyle w:val="87"/>
        <w:numPr>
          <w:ilvl w:val="0"/>
          <w:numId w:val="14"/>
        </w:numPr>
        <w:tabs>
          <w:tab w:val="left" w:pos="284"/>
        </w:tabs>
        <w:spacing w:after="0" w:line="260" w:lineRule="auto"/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 электроприводом, механическим редуктором или ручные в зависимости от частоты использования и диаметра.</w:t>
      </w:r>
    </w:p>
    <w:p>
      <w:pPr>
        <w:numPr>
          <w:ilvl w:val="0"/>
          <w:numId w:val="17"/>
        </w:numPr>
        <w:tabs>
          <w:tab w:val="left" w:pos="540"/>
        </w:tabs>
        <w:spacing w:after="0" w:line="260" w:lineRule="auto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Кроме того, при выборе марки запорной арматуры должны быть учтены следующие условия:</w:t>
      </w:r>
    </w:p>
    <w:p>
      <w:pPr>
        <w:numPr>
          <w:ilvl w:val="0"/>
          <w:numId w:val="18"/>
        </w:numPr>
        <w:tabs>
          <w:tab w:val="left" w:pos="540"/>
        </w:tabs>
        <w:spacing w:after="0" w:line="260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Производитель должен производить всю линейку Ду одного типа арматуры на собственных производственных мощностях;</w:t>
      </w:r>
    </w:p>
    <w:p>
      <w:pPr>
        <w:numPr>
          <w:ilvl w:val="0"/>
          <w:numId w:val="18"/>
        </w:numPr>
        <w:tabs>
          <w:tab w:val="left" w:pos="540"/>
        </w:tabs>
        <w:spacing w:after="0" w:line="260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Производственные мощности должны располагаться в приоритетном месторасположении – Россия и Европа;</w:t>
      </w:r>
    </w:p>
    <w:p>
      <w:pPr>
        <w:numPr>
          <w:ilvl w:val="0"/>
          <w:numId w:val="18"/>
        </w:numPr>
        <w:tabs>
          <w:tab w:val="left" w:pos="540"/>
        </w:tabs>
        <w:spacing w:after="0" w:line="260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Срок эксплуатации должен составлять не менее 50 лет;</w:t>
      </w:r>
    </w:p>
    <w:p>
      <w:pPr>
        <w:numPr>
          <w:ilvl w:val="0"/>
          <w:numId w:val="18"/>
        </w:numPr>
        <w:tabs>
          <w:tab w:val="left" w:pos="540"/>
        </w:tabs>
        <w:spacing w:after="0" w:line="260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Гарантийный срок должен составлять не менее 24 месяцев, не менее 5000 циклов открытия/закрытия;</w:t>
      </w:r>
    </w:p>
    <w:p>
      <w:pPr>
        <w:numPr>
          <w:ilvl w:val="0"/>
          <w:numId w:val="18"/>
        </w:numPr>
        <w:tabs>
          <w:tab w:val="left" w:pos="540"/>
        </w:tabs>
        <w:spacing w:after="0" w:line="260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Ремонтопригодность в условиях неспециализированной мастерской, в полевых условиях, с применением стандартного набора инструментов;</w:t>
      </w:r>
    </w:p>
    <w:p>
      <w:pPr>
        <w:numPr>
          <w:ilvl w:val="0"/>
          <w:numId w:val="18"/>
        </w:numPr>
        <w:tabs>
          <w:tab w:val="left" w:pos="540"/>
        </w:tabs>
        <w:spacing w:after="0" w:line="260" w:lineRule="auto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Документация и сертификация, маркировка изделия, приводных механизмов: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Технический паспорт;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Инструкции по эксплуатации и по монтажу на русском языке;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Сертификаты: ГОСТ Р, гигиенический сертификат для применения в системе хозяйственно-питьевого водоснабжения, ISO 9001;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Наличие маркировки на корпусе с идентификационным номером и товарным знаком завода-изготовителя на материалах не подвергающихся разложению;</w:t>
      </w:r>
    </w:p>
    <w:p>
      <w:pPr>
        <w:numPr>
          <w:ilvl w:val="0"/>
          <w:numId w:val="17"/>
        </w:numPr>
        <w:tabs>
          <w:tab w:val="left" w:pos="540"/>
        </w:tabs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При устройстве фланцевых соединений: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При необходимости устройства фланцевого соединения в земле (вне колодцев и камер) применять нержавеющие метизы;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При устройстве фланцевого соединения в колодцах и камерах применять метизы из анодированной стали или из черной стали (так же возможно применение метизов из нержавеющей стали).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При устройстве фланцевого соединения в колодцах и камерах применять метизы из анодированной стали или черной стали.</w:t>
      </w:r>
    </w:p>
    <w:p>
      <w:pPr>
        <w:numPr>
          <w:ilvl w:val="0"/>
          <w:numId w:val="17"/>
        </w:numPr>
        <w:tabs>
          <w:tab w:val="left" w:pos="540"/>
        </w:tabs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При выборе материала фасонных частей: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применять стальные с внутренним цементно-песчаным покрытием и весьма усиленной наружной изоляцией, либо с иным наружным покрытием в качестве защиты от коррозии, при условии выполнения защитного покрытия в условиях завода-производителя.</w:t>
      </w:r>
    </w:p>
    <w:p>
      <w:pPr>
        <w:numPr>
          <w:ilvl w:val="0"/>
          <w:numId w:val="17"/>
        </w:numPr>
        <w:tabs>
          <w:tab w:val="left" w:pos="540"/>
        </w:tabs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При проектировании и монтаже колодцев: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конструкция колодца должна быть из сборных железобетонных элементов в соответствии с </w:t>
      </w:r>
      <w:r>
        <w:rPr>
          <w:iCs/>
          <w:sz w:val="22"/>
          <w:szCs w:val="22"/>
          <w:u w:val="single"/>
        </w:rPr>
        <w:t>ГОСТ 8020-2016</w:t>
      </w:r>
      <w:r>
        <w:rPr>
          <w:iCs/>
          <w:sz w:val="22"/>
          <w:szCs w:val="22"/>
        </w:rPr>
        <w:t xml:space="preserve"> или монолитная (применение других материалов возможно при соответствующем обосновании). 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в случае размещения в колодце только запорной арматуры на вводе в дом – применять бесколодезную установку арматуры (управление через ковер);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высота рабочей части колодца должна составлять не менее 1800 мм;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высота горловины колодца с перекрытием должна составлять не более 500 мм.</w:t>
      </w:r>
    </w:p>
    <w:p>
      <w:pPr>
        <w:ind w:firstLine="426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В случае размещения в колодце только запорной арматуры на ввод в дом – применять бесколодезную установку арматуры (управление через ковер).</w:t>
      </w:r>
    </w:p>
    <w:p>
      <w:pPr>
        <w:ind w:firstLine="426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Применять смотровые люки: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на проезжей части дорог, балках, чашеобразных пониженных участках рельефа местности, болотистых местах и прочих неблагоприятных условиях приводящих к поступлению вод через люки – чугунный люк плавающего типа с запорным устройством;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в газонах в городской черте – чугунные средней или легкой серии с чугунной или полимерной крышкой;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за пределами проезжей части (вне городской черты) – люки с крышками из армированного железобетона.</w:t>
      </w:r>
    </w:p>
    <w:p>
      <w:pPr>
        <w:pStyle w:val="87"/>
        <w:numPr>
          <w:ilvl w:val="0"/>
          <w:numId w:val="14"/>
        </w:numPr>
        <w:tabs>
          <w:tab w:val="left" w:pos="284"/>
        </w:tabs>
        <w:ind w:left="0"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случае применения материалов или оборудования в составе проектного решения, стоимостью более 1 млн. рублей, необходимо производить оценку стоимости владения на период 10 лет: стоимость капитальных и эксплуатационных затрат. Методика расчета высылается в виде файла </w:t>
      </w:r>
      <w:r>
        <w:rPr>
          <w:sz w:val="22"/>
          <w:szCs w:val="22"/>
          <w:lang w:val="en-US"/>
        </w:rPr>
        <w:t>Excel</w:t>
      </w:r>
      <w:r>
        <w:rPr>
          <w:sz w:val="22"/>
          <w:szCs w:val="22"/>
        </w:rPr>
        <w:t xml:space="preserve"> – по запросу проектной организации. При проведении сравнения вариантов использовать не менее 3х производителей.</w:t>
      </w:r>
    </w:p>
    <w:p>
      <w:pPr>
        <w:pStyle w:val="87"/>
        <w:tabs>
          <w:tab w:val="left" w:pos="284"/>
        </w:tabs>
        <w:ind w:left="426"/>
        <w:jc w:val="both"/>
        <w:rPr>
          <w:sz w:val="22"/>
          <w:szCs w:val="22"/>
        </w:rPr>
      </w:pPr>
    </w:p>
    <w:p>
      <w:pPr>
        <w:pStyle w:val="3"/>
        <w:rPr>
          <w:sz w:val="22"/>
          <w:szCs w:val="22"/>
        </w:rPr>
      </w:pPr>
      <w:r>
        <w:rPr>
          <w:sz w:val="22"/>
          <w:szCs w:val="22"/>
        </w:rPr>
        <w:t>Требования к организациям,  выполняющим геодезические съемки</w:t>
      </w:r>
    </w:p>
    <w:p>
      <w:pPr>
        <w:pStyle w:val="87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</w:rPr>
        <w:t>Выписка СРО на момент выполнения геодезической съемки (оригинал, либо копия, заверенная руководителем);</w:t>
      </w:r>
    </w:p>
    <w:p>
      <w:pPr>
        <w:pStyle w:val="87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</w:rPr>
        <w:t>Сертификат на программное обеспечение, на котором предоставляется съемка;</w:t>
      </w:r>
    </w:p>
    <w:p>
      <w:pPr>
        <w:pStyle w:val="87"/>
        <w:numPr>
          <w:ilvl w:val="0"/>
          <w:numId w:val="19"/>
        </w:numPr>
        <w:rPr>
          <w:sz w:val="22"/>
          <w:szCs w:val="22"/>
        </w:rPr>
      </w:pPr>
      <w:r>
        <w:rPr>
          <w:sz w:val="22"/>
          <w:szCs w:val="22"/>
        </w:rPr>
        <w:t>Поверка на оборудование, которым была выполнена геодезическая съемка (оригинал, либо копия, заверенная руководителем).</w:t>
      </w:r>
    </w:p>
    <w:p>
      <w:pPr>
        <w:pStyle w:val="87"/>
        <w:tabs>
          <w:tab w:val="left" w:pos="284"/>
        </w:tabs>
        <w:ind w:left="426"/>
        <w:jc w:val="both"/>
        <w:rPr>
          <w:sz w:val="22"/>
          <w:szCs w:val="22"/>
        </w:rPr>
      </w:pPr>
    </w:p>
    <w:p>
      <w:pPr>
        <w:pStyle w:val="87"/>
        <w:tabs>
          <w:tab w:val="left" w:pos="284"/>
        </w:tabs>
        <w:ind w:left="426"/>
        <w:jc w:val="both"/>
        <w:rPr>
          <w:sz w:val="22"/>
          <w:szCs w:val="22"/>
        </w:rPr>
      </w:pPr>
    </w:p>
    <w:p>
      <w:pPr>
        <w:pStyle w:val="87"/>
        <w:tabs>
          <w:tab w:val="left" w:pos="284"/>
        </w:tabs>
        <w:ind w:left="426"/>
        <w:jc w:val="both"/>
        <w:rPr>
          <w:sz w:val="22"/>
          <w:szCs w:val="22"/>
        </w:rPr>
      </w:pPr>
    </w:p>
    <w:p>
      <w:pPr>
        <w:pStyle w:val="87"/>
        <w:tabs>
          <w:tab w:val="left" w:pos="284"/>
        </w:tabs>
        <w:ind w:left="426"/>
        <w:jc w:val="both"/>
        <w:rPr>
          <w:sz w:val="22"/>
          <w:szCs w:val="22"/>
        </w:rPr>
      </w:pPr>
    </w:p>
    <w:p>
      <w:pPr>
        <w:pStyle w:val="87"/>
        <w:tabs>
          <w:tab w:val="left" w:pos="284"/>
        </w:tabs>
        <w:ind w:left="426"/>
        <w:jc w:val="both"/>
        <w:rPr>
          <w:sz w:val="22"/>
          <w:szCs w:val="22"/>
        </w:rPr>
      </w:pPr>
    </w:p>
    <w:p>
      <w:pPr>
        <w:pStyle w:val="87"/>
        <w:tabs>
          <w:tab w:val="left" w:pos="284"/>
        </w:tabs>
        <w:ind w:left="426"/>
        <w:jc w:val="both"/>
        <w:rPr>
          <w:sz w:val="22"/>
          <w:szCs w:val="22"/>
        </w:rPr>
      </w:pPr>
    </w:p>
    <w:p>
      <w:pPr>
        <w:pStyle w:val="87"/>
        <w:tabs>
          <w:tab w:val="left" w:pos="284"/>
        </w:tabs>
        <w:ind w:left="426"/>
        <w:jc w:val="both"/>
        <w:rPr>
          <w:sz w:val="22"/>
          <w:szCs w:val="22"/>
        </w:rPr>
      </w:pPr>
    </w:p>
    <w:p>
      <w:pPr>
        <w:pStyle w:val="87"/>
        <w:tabs>
          <w:tab w:val="left" w:pos="284"/>
        </w:tabs>
        <w:ind w:left="426"/>
        <w:jc w:val="both"/>
        <w:rPr>
          <w:sz w:val="22"/>
          <w:szCs w:val="22"/>
        </w:rPr>
      </w:pPr>
    </w:p>
    <w:p>
      <w:pPr>
        <w:pStyle w:val="87"/>
        <w:tabs>
          <w:tab w:val="left" w:pos="284"/>
        </w:tabs>
        <w:ind w:left="426"/>
        <w:jc w:val="both"/>
        <w:rPr>
          <w:sz w:val="22"/>
          <w:szCs w:val="22"/>
        </w:rPr>
      </w:pPr>
    </w:p>
    <w:tbl>
      <w:tblPr>
        <w:tblStyle w:val="41"/>
        <w:tblW w:w="101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5"/>
        <w:gridCol w:w="28"/>
        <w:gridCol w:w="47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5" w:type="dxa"/>
          </w:tcPr>
          <w:p>
            <w:pPr>
              <w:pStyle w:val="216"/>
              <w:keepLines/>
              <w:spacing w:line="240" w:lineRule="auto"/>
              <w:ind w:right="15"/>
              <w:rPr>
                <w:rFonts w:ascii="Times New Roman" w:hAnsi="Times New Roman" w:eastAsia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4814" w:type="dxa"/>
            <w:gridSpan w:val="2"/>
          </w:tcPr>
          <w:p>
            <w:pPr>
              <w:ind w:right="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№1.2.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5" w:type="dxa"/>
          </w:tcPr>
          <w:p>
            <w:pPr>
              <w:pStyle w:val="216"/>
              <w:keepLines/>
              <w:spacing w:line="240" w:lineRule="auto"/>
              <w:ind w:right="15"/>
              <w:rPr>
                <w:rFonts w:ascii="Times New Roman" w:hAnsi="Times New Roman" w:eastAsia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4814" w:type="dxa"/>
            <w:gridSpan w:val="2"/>
          </w:tcPr>
          <w:p>
            <w:pPr>
              <w:pStyle w:val="216"/>
              <w:keepLines/>
              <w:spacing w:line="360" w:lineRule="auto"/>
              <w:ind w:left="0" w:right="15" w:firstLine="0"/>
              <w:contextualSpacing/>
              <w:jc w:val="right"/>
              <w:rPr>
                <w:rFonts w:ascii="Times New Roman" w:hAnsi="Times New Roman" w:eastAsia="Times New Roman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en-US" w:eastAsia="ru-RU"/>
              </w:rPr>
              <w:t>к договору №__ от «__»_________2022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gridSpan w:val="2"/>
            <w:shd w:val="clear" w:color="auto" w:fill="auto"/>
          </w:tcPr>
          <w:p>
            <w:pPr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СОГЛАСОВАНО:</w:t>
            </w:r>
          </w:p>
          <w:p>
            <w:pPr>
              <w:rPr>
                <w:color w:val="auto"/>
                <w:sz w:val="22"/>
                <w:szCs w:val="22"/>
              </w:rPr>
            </w:pPr>
          </w:p>
          <w:p>
            <w:pPr>
              <w:rPr>
                <w:rStyle w:val="40"/>
                <w:sz w:val="22"/>
                <w:szCs w:val="22"/>
              </w:rPr>
            </w:pPr>
          </w:p>
        </w:tc>
        <w:tc>
          <w:tcPr>
            <w:tcW w:w="4786" w:type="dxa"/>
            <w:shd w:val="clear" w:color="auto" w:fill="auto"/>
          </w:tcPr>
          <w:p>
            <w:pPr>
              <w:jc w:val="righ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 xml:space="preserve"> УТВЕРЖДАЮ:</w:t>
            </w:r>
          </w:p>
          <w:p>
            <w:pPr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            Главный инженер ООО «БВК»</w:t>
            </w:r>
          </w:p>
          <w:p>
            <w:pPr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             ____________ О.В. Постоногова</w:t>
            </w:r>
          </w:p>
          <w:p>
            <w:pPr>
              <w:contextualSpacing/>
              <w:jc w:val="right"/>
              <w:rPr>
                <w:rStyle w:val="40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                                      </w:t>
            </w:r>
          </w:p>
        </w:tc>
      </w:tr>
    </w:tbl>
    <w:p>
      <w:pPr>
        <w:pStyle w:val="79"/>
        <w:spacing w:line="360" w:lineRule="auto"/>
        <w:contextualSpacing/>
        <w:jc w:val="center"/>
        <w:outlineLvl w:val="0"/>
        <w:rPr>
          <w:rFonts w:ascii="Times New Roman" w:hAnsi="Times New Roman"/>
          <w:b/>
          <w:sz w:val="22"/>
          <w:szCs w:val="22"/>
        </w:rPr>
      </w:pPr>
    </w:p>
    <w:p>
      <w:pPr>
        <w:spacing w:line="276" w:lineRule="auto"/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t>ПЕРЕЧЕНЬ ИСХОДНЫХ ДАННЫХ И ТЕХНИЧЕСКИХ УСЛОВИЙ ДЛЯ ВЫПОЛНЕНИЯ РАБОТ</w:t>
      </w:r>
    </w:p>
    <w:p>
      <w:pPr>
        <w:spacing w:before="120"/>
        <w:contextualSpacing/>
        <w:jc w:val="center"/>
        <w:rPr>
          <w:sz w:val="22"/>
          <w:szCs w:val="22"/>
        </w:rPr>
      </w:pPr>
      <w:r>
        <w:rPr>
          <w:b/>
          <w:sz w:val="22"/>
          <w:szCs w:val="22"/>
        </w:rPr>
        <w:t>«</w:t>
      </w:r>
      <w:r>
        <w:rPr>
          <w:sz w:val="22"/>
          <w:szCs w:val="22"/>
        </w:rPr>
        <w:t>На выполнение работ по проектированию сетей водопровода для малоэтажной застройки в деревне Шарапы от сети водоснабжения Ду=600, для объекта: «Сети водоснабжения в д. Шарапы»</w:t>
      </w:r>
    </w:p>
    <w:p>
      <w:pPr>
        <w:contextualSpacing/>
        <w:jc w:val="center"/>
        <w:rPr>
          <w:color w:val="FF0000"/>
          <w:sz w:val="22"/>
          <w:szCs w:val="22"/>
        </w:rPr>
      </w:pPr>
    </w:p>
    <w:tbl>
      <w:tblPr>
        <w:tblStyle w:val="41"/>
        <w:tblW w:w="10349" w:type="dxa"/>
        <w:tblInd w:w="-7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9" w:type="dxa"/>
          </w:tcPr>
          <w:p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Основные технико-экономические показатели и характеристики объекта, в том числе мощность и производительность:</w:t>
            </w:r>
          </w:p>
          <w:p>
            <w:pPr>
              <w:pStyle w:val="87"/>
              <w:ind w:left="9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 трубопровода в месте врезки – 2Д225 мм.</w:t>
            </w:r>
          </w:p>
          <w:p>
            <w:pPr>
              <w:pStyle w:val="87"/>
              <w:ind w:left="9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 трубопровода в месте врезки – </w:t>
            </w:r>
            <w:r>
              <w:rPr>
                <w:sz w:val="22"/>
                <w:szCs w:val="22"/>
                <w:lang w:val="ru-RU"/>
              </w:rPr>
              <w:t>полиэтилен</w:t>
            </w:r>
            <w:r>
              <w:rPr>
                <w:sz w:val="22"/>
                <w:szCs w:val="22"/>
              </w:rPr>
              <w:t xml:space="preserve"> (ориентировочно). </w:t>
            </w:r>
          </w:p>
          <w:p>
            <w:pPr>
              <w:pStyle w:val="87"/>
              <w:ind w:left="9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 проектируемого трубопровода – определить проектом.</w:t>
            </w:r>
          </w:p>
          <w:p>
            <w:pPr>
              <w:pStyle w:val="87"/>
              <w:ind w:left="993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 xml:space="preserve">Протяженность сети </w:t>
            </w:r>
            <w:r>
              <w:rPr>
                <w:sz w:val="22"/>
                <w:szCs w:val="22"/>
                <w:lang w:val="ru-RU"/>
              </w:rPr>
              <w:t>- в соответствии с предполагаемой проектируемой трассой.</w:t>
            </w:r>
          </w:p>
          <w:p>
            <w:pPr>
              <w:pStyle w:val="87"/>
              <w:ind w:left="9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прокладки сети – определить проектом.</w:t>
            </w:r>
          </w:p>
          <w:p>
            <w:pPr>
              <w:pStyle w:val="87"/>
              <w:ind w:left="99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Гарантированный напор в точке присоединения в случае пожаротушения (на уровне поверхности земли) – 20 м.вод.ст.</w:t>
            </w:r>
          </w:p>
          <w:p>
            <w:pPr>
              <w:pStyle w:val="87"/>
              <w:numPr>
                <w:ilvl w:val="0"/>
                <w:numId w:val="1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Схема </w:t>
            </w:r>
            <w:r>
              <w:rPr>
                <w:color w:val="0000FF"/>
                <w:sz w:val="22"/>
                <w:szCs w:val="22"/>
              </w:rPr>
              <w:t>предполагаемой трассы проектируемой</w:t>
            </w:r>
            <w:r>
              <w:rPr>
                <w:sz w:val="22"/>
                <w:szCs w:val="22"/>
              </w:rPr>
              <w:t xml:space="preserve"> сети. (Приложение № 1.3)</w:t>
            </w:r>
          </w:p>
          <w:p>
            <w:pPr>
              <w:pStyle w:val="87"/>
              <w:numPr>
                <w:ilvl w:val="0"/>
                <w:numId w:val="1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Вся дополнительная информация (исходные данные) выдаётся по запросу Проектной организации в процессе проектирования. Исходные данные сторонних организаций, необходимые для проектирования Проектная организация запрашивает самостоятельно.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49" w:type="dxa"/>
          </w:tcPr>
          <w:p>
            <w:pPr>
              <w:pStyle w:val="87"/>
              <w:numPr>
                <w:ilvl w:val="0"/>
                <w:numId w:val="16"/>
              </w:numPr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Исходная информация территориальных органов государственного надзора и местных органов муниципального управления (самостоятельно запрашивается подрядной организацией у соответствующих органов).</w:t>
            </w:r>
          </w:p>
        </w:tc>
      </w:tr>
    </w:tbl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tbl>
      <w:tblPr>
        <w:tblStyle w:val="41"/>
        <w:tblW w:w="1031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5"/>
        <w:gridCol w:w="28"/>
        <w:gridCol w:w="496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5" w:type="dxa"/>
          </w:tcPr>
          <w:p>
            <w:pPr>
              <w:pStyle w:val="216"/>
              <w:keepLines/>
              <w:spacing w:line="240" w:lineRule="auto"/>
              <w:ind w:right="15"/>
              <w:rPr>
                <w:rFonts w:ascii="Times New Roman" w:hAnsi="Times New Roman" w:eastAsia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4990" w:type="dxa"/>
            <w:gridSpan w:val="2"/>
          </w:tcPr>
          <w:p>
            <w:pPr>
              <w:ind w:right="1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№1.3.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5" w:type="dxa"/>
          </w:tcPr>
          <w:p>
            <w:pPr>
              <w:pStyle w:val="216"/>
              <w:keepLines/>
              <w:spacing w:line="240" w:lineRule="auto"/>
              <w:ind w:right="15"/>
              <w:rPr>
                <w:rFonts w:ascii="Times New Roman" w:hAnsi="Times New Roman" w:eastAsia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4990" w:type="dxa"/>
            <w:gridSpan w:val="2"/>
          </w:tcPr>
          <w:p>
            <w:pPr>
              <w:pStyle w:val="216"/>
              <w:keepLines/>
              <w:spacing w:line="360" w:lineRule="auto"/>
              <w:ind w:left="0" w:right="15" w:firstLine="0"/>
              <w:contextualSpacing/>
              <w:jc w:val="right"/>
              <w:rPr>
                <w:rFonts w:ascii="Times New Roman" w:hAnsi="Times New Roman" w:eastAsia="Times New Roman"/>
                <w:sz w:val="22"/>
                <w:szCs w:val="22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en-US" w:eastAsia="ru-RU"/>
              </w:rPr>
              <w:t>к договору №__ от «__»_________2022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5353" w:type="dxa"/>
            <w:gridSpan w:val="2"/>
            <w:shd w:val="clear" w:color="auto" w:fill="auto"/>
          </w:tcPr>
          <w:p>
            <w:pPr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СОГЛАСОВАНО:</w:t>
            </w:r>
          </w:p>
          <w:p>
            <w:pPr>
              <w:rPr>
                <w:color w:val="auto"/>
                <w:sz w:val="22"/>
                <w:szCs w:val="22"/>
              </w:rPr>
            </w:pPr>
          </w:p>
          <w:p>
            <w:pPr>
              <w:rPr>
                <w:color w:val="auto"/>
                <w:sz w:val="22"/>
                <w:szCs w:val="22"/>
              </w:rPr>
            </w:pPr>
          </w:p>
          <w:p>
            <w:pPr>
              <w:rPr>
                <w:color w:val="auto"/>
                <w:sz w:val="22"/>
                <w:szCs w:val="22"/>
              </w:rPr>
            </w:pPr>
          </w:p>
          <w:p>
            <w:pPr>
              <w:rPr>
                <w:rStyle w:val="40"/>
                <w:sz w:val="22"/>
                <w:szCs w:val="22"/>
              </w:rPr>
            </w:pPr>
          </w:p>
        </w:tc>
        <w:tc>
          <w:tcPr>
            <w:tcW w:w="4962" w:type="dxa"/>
            <w:shd w:val="clear" w:color="auto" w:fill="auto"/>
          </w:tcPr>
          <w:p>
            <w:pPr>
              <w:jc w:val="righ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 xml:space="preserve"> УТВЕРЖДАЮ:</w:t>
            </w:r>
          </w:p>
          <w:p>
            <w:pPr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            Главный инженер ООО «БВК»</w:t>
            </w:r>
          </w:p>
          <w:p>
            <w:pPr>
              <w:jc w:val="righ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                ____________ О.В. Постоногова</w:t>
            </w:r>
          </w:p>
          <w:p>
            <w:pPr>
              <w:spacing w:after="0" w:line="260" w:lineRule="auto"/>
              <w:jc w:val="both"/>
              <w:rPr>
                <w:rStyle w:val="40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                                   </w:t>
            </w:r>
          </w:p>
        </w:tc>
      </w:tr>
    </w:tbl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p>
      <w:pPr>
        <w:contextualSpacing/>
        <w:jc w:val="right"/>
        <w:rPr>
          <w:sz w:val="22"/>
          <w:szCs w:val="22"/>
        </w:rPr>
      </w:pPr>
    </w:p>
    <w:p>
      <w:pPr>
        <w:pStyle w:val="87"/>
        <w:ind w:left="993"/>
        <w:jc w:val="center"/>
        <w:rPr>
          <w:sz w:val="22"/>
          <w:szCs w:val="22"/>
        </w:rPr>
      </w:pPr>
      <w:r>
        <w:rPr>
          <w:sz w:val="22"/>
          <w:szCs w:val="22"/>
        </w:rPr>
        <w:t>СХЕМА ПРЕДПОЛАГАЕМОЙ ТРАССЫ</w:t>
      </w:r>
      <w:r>
        <w:rPr>
          <w:sz w:val="22"/>
          <w:szCs w:val="22"/>
        </w:rPr>
        <w:br w:type="textWrapping"/>
      </w:r>
      <w:r>
        <w:rPr>
          <w:sz w:val="22"/>
          <w:szCs w:val="22"/>
        </w:rPr>
        <w:t xml:space="preserve"> С</w:t>
      </w:r>
      <w:r>
        <w:rPr>
          <w:sz w:val="22"/>
          <w:szCs w:val="22"/>
          <w:lang w:eastAsia="ru-RU"/>
        </w:rPr>
        <w:t>ети водопровода Ду=200 мм  (вынос из зоны предполагаемого провала) по улице Железнодорожная от дома № 19 до дома № 45 для объекта: «Сети водоснабжения с инвентарным номером 30228</w:t>
      </w:r>
      <w:r>
        <w:rPr>
          <w:sz w:val="22"/>
          <w:szCs w:val="22"/>
        </w:rPr>
        <w:t>».</w:t>
      </w:r>
    </w:p>
    <w:p>
      <w:pPr>
        <w:contextualSpacing/>
        <w:jc w:val="center"/>
        <w:rPr>
          <w:sz w:val="22"/>
          <w:szCs w:val="22"/>
        </w:rPr>
      </w:pPr>
    </w:p>
    <w:p>
      <w:pPr>
        <w:contextualSpacing/>
        <w:jc w:val="center"/>
      </w:pPr>
      <w:r>
        <w:drawing>
          <wp:inline distT="0" distB="0" distL="114300" distR="114300">
            <wp:extent cx="6466840" cy="4354830"/>
            <wp:effectExtent l="0" t="0" r="10160" b="7620"/>
            <wp:docPr id="1" name="Изображение 1" descr="Схема инженерно-технического обеспечения территории п. Шарапы, г. Березники. Водоснабжение и водоотвед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Схема инженерно-технического обеспечения территории п. Шарапы, г. Березники. Водоснабжение и водоотведение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66840" cy="435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5" w:type="first"/>
      <w:footerReference r:id="rId3" w:type="default"/>
      <w:footerReference r:id="rId4" w:type="even"/>
      <w:pgSz w:w="11906" w:h="16838"/>
      <w:pgMar w:top="850" w:right="567" w:bottom="850" w:left="1134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Franklin Gothic Book">
    <w:altName w:val="Yu Gothic UI"/>
    <w:panose1 w:val="00000000000000000000"/>
    <w:charset w:val="CC"/>
    <w:family w:val="swiss"/>
    <w:pitch w:val="default"/>
    <w:sig w:usb0="00000000" w:usb1="000000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elv">
    <w:altName w:val="Arial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15085004"/>
    </w:sdtPr>
    <w:sdtContent>
      <w:sdt>
        <w:sdtPr>
          <w:id w:val="1577401214"/>
        </w:sdtPr>
        <w:sdtContent>
          <w:p>
            <w:pPr>
              <w:pStyle w:val="29"/>
              <w:jc w:val="right"/>
            </w:pPr>
            <w:r>
              <w:t xml:space="preserve">Страница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>
    <w:pPr>
      <w:pStyle w:val="2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  <w:framePr w:wrap="around" w:vAnchor="text" w:hAnchor="margin" w:xAlign="center" w:y="1"/>
      <w:rPr>
        <w:rStyle w:val="39"/>
      </w:rPr>
    </w:pPr>
    <w:r>
      <w:rPr>
        <w:rStyle w:val="39"/>
      </w:rPr>
      <w:fldChar w:fldCharType="begin"/>
    </w:r>
    <w:r>
      <w:rPr>
        <w:rStyle w:val="39"/>
      </w:rPr>
      <w:instrText xml:space="preserve">PAGE  </w:instrText>
    </w:r>
    <w:r>
      <w:rPr>
        <w:rStyle w:val="39"/>
      </w:rPr>
      <w:fldChar w:fldCharType="end"/>
    </w:r>
  </w:p>
  <w:p>
    <w:pPr>
      <w:pStyle w:val="2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D0AF8"/>
    <w:multiLevelType w:val="multilevel"/>
    <w:tmpl w:val="094D0AF8"/>
    <w:lvl w:ilvl="0" w:tentative="0">
      <w:start w:val="1"/>
      <w:numFmt w:val="decimal"/>
      <w:pStyle w:val="4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D1922"/>
    <w:multiLevelType w:val="multilevel"/>
    <w:tmpl w:val="121D1922"/>
    <w:lvl w:ilvl="0" w:tentative="0">
      <w:start w:val="1"/>
      <w:numFmt w:val="decimal"/>
      <w:pStyle w:val="213"/>
      <w:lvlText w:val="%1."/>
      <w:lvlJc w:val="left"/>
      <w:pPr>
        <w:tabs>
          <w:tab w:val="left" w:pos="753"/>
        </w:tabs>
        <w:ind w:left="753" w:hanging="360"/>
      </w:pPr>
      <w:rPr>
        <w:b/>
        <w:color w:val="000000"/>
      </w:rPr>
    </w:lvl>
    <w:lvl w:ilvl="1" w:tentative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130028A8"/>
    <w:multiLevelType w:val="multilevel"/>
    <w:tmpl w:val="130028A8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cs="Symbol"/>
        <w:caps w:val="0"/>
        <w:strike w:val="0"/>
        <w:dstrike w:val="0"/>
        <w:vanish w:val="0"/>
        <w:color w:val="000000"/>
        <w:spacing w:val="-6"/>
        <w:sz w:val="20"/>
        <w:szCs w:val="20"/>
        <w:vertAlign w:val="baseline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4271634"/>
    <w:multiLevelType w:val="multilevel"/>
    <w:tmpl w:val="24271634"/>
    <w:lvl w:ilvl="0" w:tentative="0">
      <w:start w:val="1"/>
      <w:numFmt w:val="bullet"/>
      <w:pStyle w:val="203"/>
      <w:lvlText w:val=""/>
      <w:lvlJc w:val="left"/>
      <w:pPr>
        <w:tabs>
          <w:tab w:val="left" w:pos="1134"/>
        </w:tabs>
        <w:ind w:left="0" w:firstLine="851"/>
      </w:pPr>
      <w:rPr>
        <w:rFonts w:hint="default" w:ascii="Symbol" w:hAnsi="Symbol"/>
      </w:rPr>
    </w:lvl>
    <w:lvl w:ilvl="1" w:tentative="0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  <w:rPr>
        <w:rFonts w:ascii="Times New Roman" w:hAnsi="Times New Roman" w:eastAsia="Times New Roman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ADA1B63"/>
    <w:multiLevelType w:val="multilevel"/>
    <w:tmpl w:val="2ADA1B63"/>
    <w:lvl w:ilvl="0" w:tentative="0">
      <w:start w:val="1"/>
      <w:numFmt w:val="russianLower"/>
      <w:pStyle w:val="211"/>
      <w:lvlText w:val="%1)"/>
      <w:lvlJc w:val="left"/>
      <w:pPr>
        <w:tabs>
          <w:tab w:val="left" w:pos="1077"/>
        </w:tabs>
        <w:ind w:left="1077" w:hanging="34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817"/>
        </w:tabs>
        <w:ind w:left="1817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537"/>
        </w:tabs>
        <w:ind w:left="2537" w:hanging="180"/>
      </w:pPr>
    </w:lvl>
    <w:lvl w:ilvl="3" w:tentative="0">
      <w:start w:val="1"/>
      <w:numFmt w:val="decimal"/>
      <w:lvlText w:val="%4."/>
      <w:lvlJc w:val="left"/>
      <w:pPr>
        <w:tabs>
          <w:tab w:val="left" w:pos="3257"/>
        </w:tabs>
        <w:ind w:left="3257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977"/>
        </w:tabs>
        <w:ind w:left="3977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697"/>
        </w:tabs>
        <w:ind w:left="4697" w:hanging="180"/>
      </w:pPr>
    </w:lvl>
    <w:lvl w:ilvl="6" w:tentative="0">
      <w:start w:val="1"/>
      <w:numFmt w:val="decimal"/>
      <w:lvlText w:val="%7."/>
      <w:lvlJc w:val="left"/>
      <w:pPr>
        <w:tabs>
          <w:tab w:val="left" w:pos="5417"/>
        </w:tabs>
        <w:ind w:left="5417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137"/>
        </w:tabs>
        <w:ind w:left="6137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857"/>
        </w:tabs>
        <w:ind w:left="6857" w:hanging="180"/>
      </w:pPr>
    </w:lvl>
  </w:abstractNum>
  <w:abstractNum w:abstractNumId="5">
    <w:nsid w:val="2B935361"/>
    <w:multiLevelType w:val="multilevel"/>
    <w:tmpl w:val="2B935361"/>
    <w:lvl w:ilvl="0" w:tentative="0">
      <w:start w:val="1"/>
      <w:numFmt w:val="bullet"/>
      <w:lvlText w:val=""/>
      <w:lvlJc w:val="left"/>
      <w:pPr>
        <w:tabs>
          <w:tab w:val="left" w:pos="72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◦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E937E2A"/>
    <w:multiLevelType w:val="multilevel"/>
    <w:tmpl w:val="2E937E2A"/>
    <w:lvl w:ilvl="0" w:tentative="0">
      <w:start w:val="1"/>
      <w:numFmt w:val="bullet"/>
      <w:pStyle w:val="212"/>
      <w:lvlText w:val=""/>
      <w:lvlJc w:val="left"/>
      <w:pPr>
        <w:ind w:left="502" w:hanging="360"/>
      </w:pPr>
      <w:rPr>
        <w:rFonts w:hint="default" w:ascii="Symbol" w:hAnsi="Symbol"/>
      </w:rPr>
    </w:lvl>
    <w:lvl w:ilvl="1" w:tentative="0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A48214A"/>
    <w:multiLevelType w:val="multilevel"/>
    <w:tmpl w:val="3A48214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4A3763"/>
    <w:multiLevelType w:val="multilevel"/>
    <w:tmpl w:val="464A3763"/>
    <w:lvl w:ilvl="0" w:tentative="0">
      <w:start w:val="1"/>
      <w:numFmt w:val="bullet"/>
      <w:lvlText w:val=""/>
      <w:lvlJc w:val="left"/>
      <w:pPr>
        <w:tabs>
          <w:tab w:val="left" w:pos="794"/>
        </w:tabs>
        <w:ind w:left="567" w:hanging="113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9">
    <w:nsid w:val="483A2B05"/>
    <w:multiLevelType w:val="multilevel"/>
    <w:tmpl w:val="483A2B05"/>
    <w:lvl w:ilvl="0" w:tentative="0">
      <w:start w:val="1"/>
      <w:numFmt w:val="bullet"/>
      <w:lvlText w:val=""/>
      <w:lvlJc w:val="left"/>
      <w:pPr>
        <w:ind w:left="114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10">
    <w:nsid w:val="48D00ADB"/>
    <w:multiLevelType w:val="multilevel"/>
    <w:tmpl w:val="48D00ADB"/>
    <w:lvl w:ilvl="0" w:tentative="0">
      <w:start w:val="1"/>
      <w:numFmt w:val="decimal"/>
      <w:pStyle w:val="92"/>
      <w:lvlText w:val="%1"/>
      <w:lvlJc w:val="left"/>
      <w:pPr>
        <w:tabs>
          <w:tab w:val="left" w:pos="2292"/>
        </w:tabs>
        <w:ind w:left="2292" w:hanging="360"/>
      </w:pPr>
      <w:rPr>
        <w:rFonts w:hint="default"/>
      </w:rPr>
    </w:lvl>
    <w:lvl w:ilvl="1" w:tentative="0">
      <w:start w:val="9"/>
      <w:numFmt w:val="decimal"/>
      <w:isLgl/>
      <w:lvlText w:val="9.%2"/>
      <w:lvlJc w:val="left"/>
      <w:pPr>
        <w:tabs>
          <w:tab w:val="left" w:pos="1278"/>
        </w:tabs>
        <w:ind w:left="1278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2652"/>
        </w:tabs>
        <w:ind w:left="2652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2652"/>
        </w:tabs>
        <w:ind w:left="2652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3012"/>
        </w:tabs>
        <w:ind w:left="3012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3012"/>
        </w:tabs>
        <w:ind w:left="3012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3372"/>
        </w:tabs>
        <w:ind w:left="3372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3372"/>
        </w:tabs>
        <w:ind w:left="3372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3732"/>
        </w:tabs>
        <w:ind w:left="3732" w:hanging="1800"/>
      </w:pPr>
      <w:rPr>
        <w:rFonts w:hint="default"/>
      </w:rPr>
    </w:lvl>
  </w:abstractNum>
  <w:abstractNum w:abstractNumId="11">
    <w:nsid w:val="4E2C322C"/>
    <w:multiLevelType w:val="multilevel"/>
    <w:tmpl w:val="4E2C322C"/>
    <w:lvl w:ilvl="0" w:tentative="0">
      <w:start w:val="1"/>
      <w:numFmt w:val="bullet"/>
      <w:lvlText w:val=""/>
      <w:lvlJc w:val="left"/>
      <w:pPr>
        <w:tabs>
          <w:tab w:val="left" w:pos="1985"/>
        </w:tabs>
        <w:ind w:left="1985" w:hanging="397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12">
    <w:nsid w:val="57F80A46"/>
    <w:multiLevelType w:val="multilevel"/>
    <w:tmpl w:val="57F80A46"/>
    <w:lvl w:ilvl="0" w:tentative="0">
      <w:start w:val="1"/>
      <w:numFmt w:val="bullet"/>
      <w:lvlText w:val=""/>
      <w:lvlJc w:val="left"/>
      <w:pPr>
        <w:ind w:left="502" w:hanging="360"/>
      </w:pPr>
      <w:rPr>
        <w:rFonts w:hint="default" w:ascii="Symbol" w:hAnsi="Symbol"/>
      </w:rPr>
    </w:lvl>
    <w:lvl w:ilvl="1" w:tentative="0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5C6D07BA"/>
    <w:multiLevelType w:val="multilevel"/>
    <w:tmpl w:val="5C6D07BA"/>
    <w:lvl w:ilvl="0" w:tentative="0">
      <w:start w:val="1"/>
      <w:numFmt w:val="decimal"/>
      <w:pStyle w:val="143"/>
      <w:lvlText w:val="%1"/>
      <w:lvlJc w:val="left"/>
      <w:pPr>
        <w:ind w:left="0" w:firstLine="0"/>
      </w:pPr>
      <w:rPr>
        <w:rFonts w:hint="default"/>
      </w:rPr>
    </w:lvl>
    <w:lvl w:ilvl="1" w:tentative="0">
      <w:start w:val="1"/>
      <w:numFmt w:val="decimal"/>
      <w:pStyle w:val="113"/>
      <w:lvlText w:val="%1.%2"/>
      <w:lvlJc w:val="left"/>
      <w:pPr>
        <w:ind w:left="1427" w:hanging="576"/>
      </w:pPr>
      <w:rPr>
        <w:rFonts w:hint="default"/>
        <w:b w:val="0"/>
        <w:strike w:val="0"/>
        <w:sz w:val="24"/>
        <w:szCs w:val="24"/>
      </w:rPr>
    </w:lvl>
    <w:lvl w:ilvl="2" w:tentative="0">
      <w:start w:val="1"/>
      <w:numFmt w:val="decimal"/>
      <w:pStyle w:val="147"/>
      <w:lvlText w:val="%1.%2.%3"/>
      <w:lvlJc w:val="left"/>
      <w:pPr>
        <w:ind w:left="720" w:hanging="720"/>
      </w:pPr>
      <w:rPr>
        <w:rFonts w:hint="default"/>
        <w:b w:val="0"/>
        <w:strike w:val="0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6F590587"/>
    <w:multiLevelType w:val="multilevel"/>
    <w:tmpl w:val="6F590587"/>
    <w:lvl w:ilvl="0" w:tentative="0">
      <w:start w:val="1"/>
      <w:numFmt w:val="bullet"/>
      <w:lvlText w:val=""/>
      <w:lvlJc w:val="left"/>
      <w:pPr>
        <w:ind w:left="502" w:hanging="360"/>
      </w:pPr>
      <w:rPr>
        <w:rFonts w:hint="default" w:ascii="Symbol" w:hAnsi="Symbol"/>
      </w:rPr>
    </w:lvl>
    <w:lvl w:ilvl="1" w:tentative="0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74DC7816"/>
    <w:multiLevelType w:val="multilevel"/>
    <w:tmpl w:val="74DC7816"/>
    <w:lvl w:ilvl="0" w:tentative="0">
      <w:start w:val="1"/>
      <w:numFmt w:val="bullet"/>
      <w:lvlText w:val=""/>
      <w:lvlJc w:val="left"/>
      <w:pPr>
        <w:tabs>
          <w:tab w:val="left" w:pos="1080"/>
        </w:tabs>
        <w:ind w:left="1080" w:hanging="360"/>
      </w:pPr>
      <w:rPr>
        <w:rFonts w:hint="default" w:ascii="Wingdings" w:hAnsi="Wingdings"/>
        <w:sz w:val="28"/>
      </w:rPr>
    </w:lvl>
    <w:lvl w:ilvl="1" w:tentative="0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hint="default" w:ascii="Wingdings" w:hAnsi="Wingdings"/>
      </w:rPr>
    </w:lvl>
  </w:abstractNum>
  <w:abstractNum w:abstractNumId="16">
    <w:nsid w:val="757A1E38"/>
    <w:multiLevelType w:val="multilevel"/>
    <w:tmpl w:val="757A1E38"/>
    <w:lvl w:ilvl="0" w:tentative="0">
      <w:start w:val="1"/>
      <w:numFmt w:val="decimal"/>
      <w:pStyle w:val="3"/>
      <w:lvlText w:val="%1."/>
      <w:lvlJc w:val="left"/>
      <w:pPr>
        <w:ind w:left="-283" w:firstLine="283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25" w:hanging="432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657" w:hanging="504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161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665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169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673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177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53" w:hanging="1440"/>
      </w:pPr>
      <w:rPr>
        <w:rFonts w:hint="default"/>
      </w:rPr>
    </w:lvl>
  </w:abstractNum>
  <w:abstractNum w:abstractNumId="17">
    <w:nsid w:val="7D6B3F5E"/>
    <w:multiLevelType w:val="multilevel"/>
    <w:tmpl w:val="7D6B3F5E"/>
    <w:lvl w:ilvl="0" w:tentative="0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13"/>
  </w:num>
  <w:num w:numId="5">
    <w:abstractNumId w:val="3"/>
  </w:num>
  <w:num w:numId="6">
    <w:abstractNumId w:val="4"/>
  </w:num>
  <w:num w:numId="7">
    <w:abstractNumId w:val="6"/>
  </w:num>
  <w:num w:numId="8">
    <w:abstractNumId w:val="1"/>
  </w:num>
  <w:num w:numId="9">
    <w:abstractNumId w:val="2"/>
  </w:num>
  <w:num w:numId="10">
    <w:abstractNumId w:val="17"/>
  </w:num>
  <w:num w:numId="11">
    <w:abstractNumId w:val="8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4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</w:num>
  <w:num w:numId="17">
    <w:abstractNumId w:val="15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1134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65"/>
    <w:rsid w:val="0000079F"/>
    <w:rsid w:val="00002116"/>
    <w:rsid w:val="0000285E"/>
    <w:rsid w:val="00002B0C"/>
    <w:rsid w:val="00002ED1"/>
    <w:rsid w:val="00002F91"/>
    <w:rsid w:val="0000398F"/>
    <w:rsid w:val="0000426C"/>
    <w:rsid w:val="00005D35"/>
    <w:rsid w:val="00005EB7"/>
    <w:rsid w:val="0000615F"/>
    <w:rsid w:val="00006265"/>
    <w:rsid w:val="0000628C"/>
    <w:rsid w:val="00007329"/>
    <w:rsid w:val="000101F3"/>
    <w:rsid w:val="000103D0"/>
    <w:rsid w:val="00010C94"/>
    <w:rsid w:val="000119AE"/>
    <w:rsid w:val="00012667"/>
    <w:rsid w:val="000134F3"/>
    <w:rsid w:val="00013D1F"/>
    <w:rsid w:val="00013D8B"/>
    <w:rsid w:val="00013E93"/>
    <w:rsid w:val="00014127"/>
    <w:rsid w:val="00015E9D"/>
    <w:rsid w:val="0002135B"/>
    <w:rsid w:val="00023583"/>
    <w:rsid w:val="00023996"/>
    <w:rsid w:val="00024934"/>
    <w:rsid w:val="00026504"/>
    <w:rsid w:val="000301B7"/>
    <w:rsid w:val="000306DA"/>
    <w:rsid w:val="00030ABB"/>
    <w:rsid w:val="00031AC8"/>
    <w:rsid w:val="00031FD2"/>
    <w:rsid w:val="0003200D"/>
    <w:rsid w:val="0003256F"/>
    <w:rsid w:val="00032C5B"/>
    <w:rsid w:val="00032F4C"/>
    <w:rsid w:val="0003355C"/>
    <w:rsid w:val="00033BCF"/>
    <w:rsid w:val="00034307"/>
    <w:rsid w:val="00034C5F"/>
    <w:rsid w:val="00034D31"/>
    <w:rsid w:val="000358EB"/>
    <w:rsid w:val="0003691B"/>
    <w:rsid w:val="00036B0D"/>
    <w:rsid w:val="00036B7C"/>
    <w:rsid w:val="00037EA0"/>
    <w:rsid w:val="00040018"/>
    <w:rsid w:val="00040B36"/>
    <w:rsid w:val="00042076"/>
    <w:rsid w:val="00042E15"/>
    <w:rsid w:val="00043ECA"/>
    <w:rsid w:val="00044E8C"/>
    <w:rsid w:val="00044FC7"/>
    <w:rsid w:val="000460D7"/>
    <w:rsid w:val="0004619F"/>
    <w:rsid w:val="000465D4"/>
    <w:rsid w:val="00046743"/>
    <w:rsid w:val="00047091"/>
    <w:rsid w:val="0004732A"/>
    <w:rsid w:val="00050434"/>
    <w:rsid w:val="00051D43"/>
    <w:rsid w:val="000528DE"/>
    <w:rsid w:val="00053229"/>
    <w:rsid w:val="00053944"/>
    <w:rsid w:val="00053F6B"/>
    <w:rsid w:val="00054290"/>
    <w:rsid w:val="00054B63"/>
    <w:rsid w:val="00056C59"/>
    <w:rsid w:val="00060D3A"/>
    <w:rsid w:val="00061475"/>
    <w:rsid w:val="00061677"/>
    <w:rsid w:val="000621E1"/>
    <w:rsid w:val="000627C9"/>
    <w:rsid w:val="00062902"/>
    <w:rsid w:val="00062F09"/>
    <w:rsid w:val="000645D3"/>
    <w:rsid w:val="00064991"/>
    <w:rsid w:val="00066094"/>
    <w:rsid w:val="0006695A"/>
    <w:rsid w:val="00066B8A"/>
    <w:rsid w:val="000719D5"/>
    <w:rsid w:val="000724EE"/>
    <w:rsid w:val="00072DAF"/>
    <w:rsid w:val="00073129"/>
    <w:rsid w:val="0007403D"/>
    <w:rsid w:val="00075036"/>
    <w:rsid w:val="0007600D"/>
    <w:rsid w:val="00076ABE"/>
    <w:rsid w:val="0007794E"/>
    <w:rsid w:val="00077C86"/>
    <w:rsid w:val="00080AA2"/>
    <w:rsid w:val="00081442"/>
    <w:rsid w:val="0008149E"/>
    <w:rsid w:val="00081982"/>
    <w:rsid w:val="0008235A"/>
    <w:rsid w:val="00084B69"/>
    <w:rsid w:val="00084CB7"/>
    <w:rsid w:val="000851AC"/>
    <w:rsid w:val="0008624C"/>
    <w:rsid w:val="00086BEA"/>
    <w:rsid w:val="000878C1"/>
    <w:rsid w:val="0009110D"/>
    <w:rsid w:val="00091AD9"/>
    <w:rsid w:val="0009212D"/>
    <w:rsid w:val="00095A91"/>
    <w:rsid w:val="000965AE"/>
    <w:rsid w:val="00096A9B"/>
    <w:rsid w:val="00097792"/>
    <w:rsid w:val="000A0967"/>
    <w:rsid w:val="000A11E8"/>
    <w:rsid w:val="000A324E"/>
    <w:rsid w:val="000A3685"/>
    <w:rsid w:val="000A3C20"/>
    <w:rsid w:val="000A5191"/>
    <w:rsid w:val="000A5700"/>
    <w:rsid w:val="000A7C6F"/>
    <w:rsid w:val="000B07A7"/>
    <w:rsid w:val="000B14C5"/>
    <w:rsid w:val="000B1D3C"/>
    <w:rsid w:val="000B2353"/>
    <w:rsid w:val="000B2CAA"/>
    <w:rsid w:val="000B32D2"/>
    <w:rsid w:val="000B434C"/>
    <w:rsid w:val="000C0E50"/>
    <w:rsid w:val="000C2E41"/>
    <w:rsid w:val="000C2E5F"/>
    <w:rsid w:val="000C4FCD"/>
    <w:rsid w:val="000C5DF8"/>
    <w:rsid w:val="000C6252"/>
    <w:rsid w:val="000C7F8A"/>
    <w:rsid w:val="000D00E4"/>
    <w:rsid w:val="000D0FE8"/>
    <w:rsid w:val="000D1E24"/>
    <w:rsid w:val="000D307D"/>
    <w:rsid w:val="000D3622"/>
    <w:rsid w:val="000D4326"/>
    <w:rsid w:val="000D46A2"/>
    <w:rsid w:val="000D6353"/>
    <w:rsid w:val="000E0A48"/>
    <w:rsid w:val="000E1E01"/>
    <w:rsid w:val="000E1EB3"/>
    <w:rsid w:val="000E297C"/>
    <w:rsid w:val="000E31F2"/>
    <w:rsid w:val="000E437A"/>
    <w:rsid w:val="000E43C2"/>
    <w:rsid w:val="000E44EE"/>
    <w:rsid w:val="000E4E4D"/>
    <w:rsid w:val="000E4F4A"/>
    <w:rsid w:val="000E6153"/>
    <w:rsid w:val="000E6F54"/>
    <w:rsid w:val="000E73E6"/>
    <w:rsid w:val="000E741F"/>
    <w:rsid w:val="000E745A"/>
    <w:rsid w:val="000E77EC"/>
    <w:rsid w:val="000F090A"/>
    <w:rsid w:val="000F0919"/>
    <w:rsid w:val="000F0A4B"/>
    <w:rsid w:val="000F210D"/>
    <w:rsid w:val="000F2746"/>
    <w:rsid w:val="000F28ED"/>
    <w:rsid w:val="000F2D80"/>
    <w:rsid w:val="000F6BA1"/>
    <w:rsid w:val="000F773F"/>
    <w:rsid w:val="000F7832"/>
    <w:rsid w:val="000F7AD7"/>
    <w:rsid w:val="000F7C24"/>
    <w:rsid w:val="001029FD"/>
    <w:rsid w:val="001032FA"/>
    <w:rsid w:val="00105931"/>
    <w:rsid w:val="001063EA"/>
    <w:rsid w:val="001068AB"/>
    <w:rsid w:val="0010709A"/>
    <w:rsid w:val="00107D8E"/>
    <w:rsid w:val="0011019F"/>
    <w:rsid w:val="001114E1"/>
    <w:rsid w:val="0011158E"/>
    <w:rsid w:val="001121E8"/>
    <w:rsid w:val="00113A61"/>
    <w:rsid w:val="00115F0C"/>
    <w:rsid w:val="0011617C"/>
    <w:rsid w:val="001174A0"/>
    <w:rsid w:val="00117627"/>
    <w:rsid w:val="00117924"/>
    <w:rsid w:val="00117948"/>
    <w:rsid w:val="0012015C"/>
    <w:rsid w:val="00120321"/>
    <w:rsid w:val="00120D7E"/>
    <w:rsid w:val="00120F35"/>
    <w:rsid w:val="00121EA5"/>
    <w:rsid w:val="0012505E"/>
    <w:rsid w:val="00130651"/>
    <w:rsid w:val="00131066"/>
    <w:rsid w:val="0013197E"/>
    <w:rsid w:val="00132801"/>
    <w:rsid w:val="00132B20"/>
    <w:rsid w:val="00133011"/>
    <w:rsid w:val="00133A80"/>
    <w:rsid w:val="001341A4"/>
    <w:rsid w:val="00134611"/>
    <w:rsid w:val="00136B4D"/>
    <w:rsid w:val="00136EF0"/>
    <w:rsid w:val="00137547"/>
    <w:rsid w:val="00137680"/>
    <w:rsid w:val="00137893"/>
    <w:rsid w:val="00137AD3"/>
    <w:rsid w:val="00140BF0"/>
    <w:rsid w:val="00140E84"/>
    <w:rsid w:val="00141C9E"/>
    <w:rsid w:val="00141D08"/>
    <w:rsid w:val="00143409"/>
    <w:rsid w:val="001435FB"/>
    <w:rsid w:val="00143DD6"/>
    <w:rsid w:val="00145AD3"/>
    <w:rsid w:val="00146779"/>
    <w:rsid w:val="00150193"/>
    <w:rsid w:val="0015046E"/>
    <w:rsid w:val="00151CE1"/>
    <w:rsid w:val="00152230"/>
    <w:rsid w:val="00153063"/>
    <w:rsid w:val="00154968"/>
    <w:rsid w:val="00155772"/>
    <w:rsid w:val="0015584F"/>
    <w:rsid w:val="0015611F"/>
    <w:rsid w:val="00156E02"/>
    <w:rsid w:val="00157702"/>
    <w:rsid w:val="00160C84"/>
    <w:rsid w:val="001615D1"/>
    <w:rsid w:val="00161B23"/>
    <w:rsid w:val="00161E69"/>
    <w:rsid w:val="00163906"/>
    <w:rsid w:val="00163954"/>
    <w:rsid w:val="00164876"/>
    <w:rsid w:val="00165CFF"/>
    <w:rsid w:val="0016617D"/>
    <w:rsid w:val="00167A1C"/>
    <w:rsid w:val="001713A8"/>
    <w:rsid w:val="00171BB0"/>
    <w:rsid w:val="00172A27"/>
    <w:rsid w:val="00172FF8"/>
    <w:rsid w:val="00173B2A"/>
    <w:rsid w:val="001759E0"/>
    <w:rsid w:val="00176499"/>
    <w:rsid w:val="00176CE8"/>
    <w:rsid w:val="001773B2"/>
    <w:rsid w:val="001779A5"/>
    <w:rsid w:val="0018075C"/>
    <w:rsid w:val="00180A14"/>
    <w:rsid w:val="00180FB6"/>
    <w:rsid w:val="00181411"/>
    <w:rsid w:val="0018214C"/>
    <w:rsid w:val="00182E9A"/>
    <w:rsid w:val="00183469"/>
    <w:rsid w:val="0018424E"/>
    <w:rsid w:val="001842B8"/>
    <w:rsid w:val="00184F05"/>
    <w:rsid w:val="00185E2D"/>
    <w:rsid w:val="0018657F"/>
    <w:rsid w:val="001869BE"/>
    <w:rsid w:val="00186EB2"/>
    <w:rsid w:val="00187F62"/>
    <w:rsid w:val="001910D6"/>
    <w:rsid w:val="001917F0"/>
    <w:rsid w:val="001920AD"/>
    <w:rsid w:val="00192538"/>
    <w:rsid w:val="001932BB"/>
    <w:rsid w:val="00193687"/>
    <w:rsid w:val="001944B6"/>
    <w:rsid w:val="00195691"/>
    <w:rsid w:val="001962B0"/>
    <w:rsid w:val="001964F5"/>
    <w:rsid w:val="00196744"/>
    <w:rsid w:val="00197205"/>
    <w:rsid w:val="001A03AE"/>
    <w:rsid w:val="001A1B77"/>
    <w:rsid w:val="001A21B9"/>
    <w:rsid w:val="001A298E"/>
    <w:rsid w:val="001A2B76"/>
    <w:rsid w:val="001A2CA8"/>
    <w:rsid w:val="001A41B5"/>
    <w:rsid w:val="001A5295"/>
    <w:rsid w:val="001A5C42"/>
    <w:rsid w:val="001A5D4A"/>
    <w:rsid w:val="001A74BC"/>
    <w:rsid w:val="001A7F7F"/>
    <w:rsid w:val="001B1839"/>
    <w:rsid w:val="001B1EB0"/>
    <w:rsid w:val="001B3F75"/>
    <w:rsid w:val="001B418E"/>
    <w:rsid w:val="001B4CD1"/>
    <w:rsid w:val="001B5E79"/>
    <w:rsid w:val="001B5F05"/>
    <w:rsid w:val="001B7370"/>
    <w:rsid w:val="001B78CF"/>
    <w:rsid w:val="001B7EAA"/>
    <w:rsid w:val="001C0898"/>
    <w:rsid w:val="001C2001"/>
    <w:rsid w:val="001C2D25"/>
    <w:rsid w:val="001C32F1"/>
    <w:rsid w:val="001C4E7A"/>
    <w:rsid w:val="001C51FF"/>
    <w:rsid w:val="001C780F"/>
    <w:rsid w:val="001C7D77"/>
    <w:rsid w:val="001C7EC8"/>
    <w:rsid w:val="001D0F48"/>
    <w:rsid w:val="001D16C5"/>
    <w:rsid w:val="001D2163"/>
    <w:rsid w:val="001D2FB6"/>
    <w:rsid w:val="001D436D"/>
    <w:rsid w:val="001D4C9A"/>
    <w:rsid w:val="001D5507"/>
    <w:rsid w:val="001D59A0"/>
    <w:rsid w:val="001D652C"/>
    <w:rsid w:val="001D65FB"/>
    <w:rsid w:val="001E0050"/>
    <w:rsid w:val="001E02B4"/>
    <w:rsid w:val="001E06AA"/>
    <w:rsid w:val="001E2AF1"/>
    <w:rsid w:val="001E304C"/>
    <w:rsid w:val="001E32F8"/>
    <w:rsid w:val="001E3689"/>
    <w:rsid w:val="001E3D9E"/>
    <w:rsid w:val="001E3E2B"/>
    <w:rsid w:val="001E4365"/>
    <w:rsid w:val="001E50AE"/>
    <w:rsid w:val="001E5D6B"/>
    <w:rsid w:val="001E7674"/>
    <w:rsid w:val="001F0FE3"/>
    <w:rsid w:val="001F1A2F"/>
    <w:rsid w:val="001F2591"/>
    <w:rsid w:val="001F26FB"/>
    <w:rsid w:val="001F3734"/>
    <w:rsid w:val="001F4471"/>
    <w:rsid w:val="001F4CEC"/>
    <w:rsid w:val="001F5A2F"/>
    <w:rsid w:val="001F6203"/>
    <w:rsid w:val="001F66EA"/>
    <w:rsid w:val="001F68F6"/>
    <w:rsid w:val="001F6CEB"/>
    <w:rsid w:val="00201A11"/>
    <w:rsid w:val="00202B25"/>
    <w:rsid w:val="00203BE1"/>
    <w:rsid w:val="00204701"/>
    <w:rsid w:val="002049C1"/>
    <w:rsid w:val="00204C97"/>
    <w:rsid w:val="00205F9D"/>
    <w:rsid w:val="00206457"/>
    <w:rsid w:val="002070C3"/>
    <w:rsid w:val="00211B13"/>
    <w:rsid w:val="00211BF2"/>
    <w:rsid w:val="0021289D"/>
    <w:rsid w:val="002148B3"/>
    <w:rsid w:val="00214DD2"/>
    <w:rsid w:val="00217768"/>
    <w:rsid w:val="00217921"/>
    <w:rsid w:val="0022056F"/>
    <w:rsid w:val="00221485"/>
    <w:rsid w:val="00221B8A"/>
    <w:rsid w:val="0022399F"/>
    <w:rsid w:val="00224015"/>
    <w:rsid w:val="0022418A"/>
    <w:rsid w:val="0022463C"/>
    <w:rsid w:val="00224BA0"/>
    <w:rsid w:val="00224BA2"/>
    <w:rsid w:val="00225B11"/>
    <w:rsid w:val="00225DAE"/>
    <w:rsid w:val="00226810"/>
    <w:rsid w:val="00227C30"/>
    <w:rsid w:val="002311FC"/>
    <w:rsid w:val="0023188B"/>
    <w:rsid w:val="002318C5"/>
    <w:rsid w:val="00231DFE"/>
    <w:rsid w:val="00231E6E"/>
    <w:rsid w:val="00232D34"/>
    <w:rsid w:val="00233DB4"/>
    <w:rsid w:val="00234089"/>
    <w:rsid w:val="00234101"/>
    <w:rsid w:val="00234DCA"/>
    <w:rsid w:val="00235094"/>
    <w:rsid w:val="002353F4"/>
    <w:rsid w:val="00235446"/>
    <w:rsid w:val="00235E20"/>
    <w:rsid w:val="00236A5D"/>
    <w:rsid w:val="00240015"/>
    <w:rsid w:val="002419C1"/>
    <w:rsid w:val="0024213D"/>
    <w:rsid w:val="002440ED"/>
    <w:rsid w:val="00245A63"/>
    <w:rsid w:val="002477DC"/>
    <w:rsid w:val="00251C89"/>
    <w:rsid w:val="00252D6F"/>
    <w:rsid w:val="00252DAD"/>
    <w:rsid w:val="00253A19"/>
    <w:rsid w:val="002560A0"/>
    <w:rsid w:val="002605E8"/>
    <w:rsid w:val="00260A61"/>
    <w:rsid w:val="00261060"/>
    <w:rsid w:val="00262AF1"/>
    <w:rsid w:val="00262FD8"/>
    <w:rsid w:val="0026327D"/>
    <w:rsid w:val="00264C2D"/>
    <w:rsid w:val="00264D46"/>
    <w:rsid w:val="00264D75"/>
    <w:rsid w:val="00264F47"/>
    <w:rsid w:val="00270173"/>
    <w:rsid w:val="002706D6"/>
    <w:rsid w:val="00270FE9"/>
    <w:rsid w:val="0027237A"/>
    <w:rsid w:val="0027279B"/>
    <w:rsid w:val="00272A97"/>
    <w:rsid w:val="00272B33"/>
    <w:rsid w:val="00273803"/>
    <w:rsid w:val="00273A9A"/>
    <w:rsid w:val="00274588"/>
    <w:rsid w:val="00275BE9"/>
    <w:rsid w:val="0028063C"/>
    <w:rsid w:val="0028079D"/>
    <w:rsid w:val="002811C8"/>
    <w:rsid w:val="0028182E"/>
    <w:rsid w:val="00281AAA"/>
    <w:rsid w:val="0028332F"/>
    <w:rsid w:val="00283E40"/>
    <w:rsid w:val="00284AB0"/>
    <w:rsid w:val="002850D9"/>
    <w:rsid w:val="00286C7B"/>
    <w:rsid w:val="002873A8"/>
    <w:rsid w:val="00290020"/>
    <w:rsid w:val="00290C0C"/>
    <w:rsid w:val="0029103B"/>
    <w:rsid w:val="00291312"/>
    <w:rsid w:val="00291426"/>
    <w:rsid w:val="0029171B"/>
    <w:rsid w:val="00291915"/>
    <w:rsid w:val="00291D02"/>
    <w:rsid w:val="00294292"/>
    <w:rsid w:val="00294D6C"/>
    <w:rsid w:val="00295F5C"/>
    <w:rsid w:val="0029648D"/>
    <w:rsid w:val="002964B0"/>
    <w:rsid w:val="0029658A"/>
    <w:rsid w:val="00296F1A"/>
    <w:rsid w:val="00297A37"/>
    <w:rsid w:val="002A1000"/>
    <w:rsid w:val="002A1E00"/>
    <w:rsid w:val="002A2BC3"/>
    <w:rsid w:val="002A42AC"/>
    <w:rsid w:val="002A5C0B"/>
    <w:rsid w:val="002A6A80"/>
    <w:rsid w:val="002A6B26"/>
    <w:rsid w:val="002A74F8"/>
    <w:rsid w:val="002B035A"/>
    <w:rsid w:val="002B070E"/>
    <w:rsid w:val="002B1D75"/>
    <w:rsid w:val="002B2D01"/>
    <w:rsid w:val="002B30D4"/>
    <w:rsid w:val="002B4559"/>
    <w:rsid w:val="002B6AC5"/>
    <w:rsid w:val="002B75A1"/>
    <w:rsid w:val="002B7C7C"/>
    <w:rsid w:val="002C02C9"/>
    <w:rsid w:val="002C03F8"/>
    <w:rsid w:val="002C238E"/>
    <w:rsid w:val="002C260F"/>
    <w:rsid w:val="002C28E2"/>
    <w:rsid w:val="002C2A5A"/>
    <w:rsid w:val="002C3010"/>
    <w:rsid w:val="002C3C71"/>
    <w:rsid w:val="002C40D0"/>
    <w:rsid w:val="002C49A4"/>
    <w:rsid w:val="002C5E4C"/>
    <w:rsid w:val="002C6888"/>
    <w:rsid w:val="002C6FD1"/>
    <w:rsid w:val="002C784E"/>
    <w:rsid w:val="002D2281"/>
    <w:rsid w:val="002D3FD5"/>
    <w:rsid w:val="002D40D1"/>
    <w:rsid w:val="002D4BFA"/>
    <w:rsid w:val="002D71FB"/>
    <w:rsid w:val="002D71FE"/>
    <w:rsid w:val="002E227C"/>
    <w:rsid w:val="002E22C3"/>
    <w:rsid w:val="002E3D5B"/>
    <w:rsid w:val="002E4497"/>
    <w:rsid w:val="002E5A31"/>
    <w:rsid w:val="002E6639"/>
    <w:rsid w:val="002E6AF2"/>
    <w:rsid w:val="002E72BA"/>
    <w:rsid w:val="002F1702"/>
    <w:rsid w:val="002F3276"/>
    <w:rsid w:val="002F5EBD"/>
    <w:rsid w:val="002F60A9"/>
    <w:rsid w:val="002F75B6"/>
    <w:rsid w:val="00301717"/>
    <w:rsid w:val="00302878"/>
    <w:rsid w:val="00303B9F"/>
    <w:rsid w:val="00305B4D"/>
    <w:rsid w:val="00305E50"/>
    <w:rsid w:val="00306824"/>
    <w:rsid w:val="003079F3"/>
    <w:rsid w:val="00307A6F"/>
    <w:rsid w:val="003127C9"/>
    <w:rsid w:val="00313A0F"/>
    <w:rsid w:val="003146CD"/>
    <w:rsid w:val="00314B46"/>
    <w:rsid w:val="0031539B"/>
    <w:rsid w:val="00317F1F"/>
    <w:rsid w:val="00321C5A"/>
    <w:rsid w:val="0032431F"/>
    <w:rsid w:val="0032472F"/>
    <w:rsid w:val="00324D00"/>
    <w:rsid w:val="00325574"/>
    <w:rsid w:val="00325772"/>
    <w:rsid w:val="00325B5B"/>
    <w:rsid w:val="00325BAB"/>
    <w:rsid w:val="0032618D"/>
    <w:rsid w:val="00326BED"/>
    <w:rsid w:val="00331F04"/>
    <w:rsid w:val="003322A4"/>
    <w:rsid w:val="00332DF4"/>
    <w:rsid w:val="003340CB"/>
    <w:rsid w:val="003360DE"/>
    <w:rsid w:val="003360EA"/>
    <w:rsid w:val="00336A25"/>
    <w:rsid w:val="003370A7"/>
    <w:rsid w:val="00341419"/>
    <w:rsid w:val="00341E67"/>
    <w:rsid w:val="00342300"/>
    <w:rsid w:val="00343482"/>
    <w:rsid w:val="00344DEA"/>
    <w:rsid w:val="00345764"/>
    <w:rsid w:val="00345B7B"/>
    <w:rsid w:val="00347E3B"/>
    <w:rsid w:val="00351EEA"/>
    <w:rsid w:val="003534F4"/>
    <w:rsid w:val="0035460D"/>
    <w:rsid w:val="00354B12"/>
    <w:rsid w:val="00354E63"/>
    <w:rsid w:val="0035640D"/>
    <w:rsid w:val="00356F79"/>
    <w:rsid w:val="003579F2"/>
    <w:rsid w:val="00360583"/>
    <w:rsid w:val="00361456"/>
    <w:rsid w:val="00361B5C"/>
    <w:rsid w:val="00362639"/>
    <w:rsid w:val="00362BC6"/>
    <w:rsid w:val="00362EAA"/>
    <w:rsid w:val="003642FE"/>
    <w:rsid w:val="00365C24"/>
    <w:rsid w:val="00365F4E"/>
    <w:rsid w:val="00366480"/>
    <w:rsid w:val="00367C4E"/>
    <w:rsid w:val="0037054C"/>
    <w:rsid w:val="00370E12"/>
    <w:rsid w:val="0037226E"/>
    <w:rsid w:val="00372A2E"/>
    <w:rsid w:val="0037381F"/>
    <w:rsid w:val="00373D7E"/>
    <w:rsid w:val="00377D07"/>
    <w:rsid w:val="0038013C"/>
    <w:rsid w:val="003816D8"/>
    <w:rsid w:val="003825EE"/>
    <w:rsid w:val="0038267D"/>
    <w:rsid w:val="003839F9"/>
    <w:rsid w:val="0038430A"/>
    <w:rsid w:val="003843A8"/>
    <w:rsid w:val="00384525"/>
    <w:rsid w:val="0038662D"/>
    <w:rsid w:val="003869A0"/>
    <w:rsid w:val="00386FE8"/>
    <w:rsid w:val="003871A8"/>
    <w:rsid w:val="003872A1"/>
    <w:rsid w:val="00391883"/>
    <w:rsid w:val="003921E9"/>
    <w:rsid w:val="0039253F"/>
    <w:rsid w:val="00392AB5"/>
    <w:rsid w:val="00393169"/>
    <w:rsid w:val="003931AF"/>
    <w:rsid w:val="003A0394"/>
    <w:rsid w:val="003A03F1"/>
    <w:rsid w:val="003A1B59"/>
    <w:rsid w:val="003A6972"/>
    <w:rsid w:val="003A71C3"/>
    <w:rsid w:val="003A7356"/>
    <w:rsid w:val="003B0243"/>
    <w:rsid w:val="003B0FBA"/>
    <w:rsid w:val="003B18B5"/>
    <w:rsid w:val="003B1E08"/>
    <w:rsid w:val="003B3CA2"/>
    <w:rsid w:val="003B52AD"/>
    <w:rsid w:val="003B5D7B"/>
    <w:rsid w:val="003B5E77"/>
    <w:rsid w:val="003B678D"/>
    <w:rsid w:val="003B73DB"/>
    <w:rsid w:val="003B763B"/>
    <w:rsid w:val="003B7777"/>
    <w:rsid w:val="003B7D73"/>
    <w:rsid w:val="003C0046"/>
    <w:rsid w:val="003C32CA"/>
    <w:rsid w:val="003C339A"/>
    <w:rsid w:val="003C3FA1"/>
    <w:rsid w:val="003C45B0"/>
    <w:rsid w:val="003C4934"/>
    <w:rsid w:val="003C5138"/>
    <w:rsid w:val="003C6272"/>
    <w:rsid w:val="003C6778"/>
    <w:rsid w:val="003C7455"/>
    <w:rsid w:val="003D21F5"/>
    <w:rsid w:val="003D2820"/>
    <w:rsid w:val="003D2A8E"/>
    <w:rsid w:val="003D2DC3"/>
    <w:rsid w:val="003D3A96"/>
    <w:rsid w:val="003D66F1"/>
    <w:rsid w:val="003D6BF2"/>
    <w:rsid w:val="003D7431"/>
    <w:rsid w:val="003E043D"/>
    <w:rsid w:val="003E0D82"/>
    <w:rsid w:val="003E19CC"/>
    <w:rsid w:val="003E26FA"/>
    <w:rsid w:val="003E2935"/>
    <w:rsid w:val="003E2FD2"/>
    <w:rsid w:val="003E310C"/>
    <w:rsid w:val="003E4263"/>
    <w:rsid w:val="003E43BE"/>
    <w:rsid w:val="003E5774"/>
    <w:rsid w:val="003E69BF"/>
    <w:rsid w:val="003E74AE"/>
    <w:rsid w:val="003E7C38"/>
    <w:rsid w:val="003F223D"/>
    <w:rsid w:val="003F2A44"/>
    <w:rsid w:val="003F4E48"/>
    <w:rsid w:val="003F51A0"/>
    <w:rsid w:val="003F58CC"/>
    <w:rsid w:val="003F6BDE"/>
    <w:rsid w:val="003F731C"/>
    <w:rsid w:val="003F73F8"/>
    <w:rsid w:val="003F771F"/>
    <w:rsid w:val="003F7F03"/>
    <w:rsid w:val="00400438"/>
    <w:rsid w:val="00400B02"/>
    <w:rsid w:val="004013D4"/>
    <w:rsid w:val="00401763"/>
    <w:rsid w:val="00402384"/>
    <w:rsid w:val="00402DF8"/>
    <w:rsid w:val="00403BD2"/>
    <w:rsid w:val="00404089"/>
    <w:rsid w:val="0040412E"/>
    <w:rsid w:val="0040446D"/>
    <w:rsid w:val="004046A8"/>
    <w:rsid w:val="00404A5F"/>
    <w:rsid w:val="004071DE"/>
    <w:rsid w:val="0040721E"/>
    <w:rsid w:val="0040737C"/>
    <w:rsid w:val="00407C4D"/>
    <w:rsid w:val="0041209F"/>
    <w:rsid w:val="00412309"/>
    <w:rsid w:val="00412902"/>
    <w:rsid w:val="00412B8C"/>
    <w:rsid w:val="00413879"/>
    <w:rsid w:val="00413D0A"/>
    <w:rsid w:val="004143D6"/>
    <w:rsid w:val="004145EB"/>
    <w:rsid w:val="00414717"/>
    <w:rsid w:val="00414874"/>
    <w:rsid w:val="00415FC0"/>
    <w:rsid w:val="00420403"/>
    <w:rsid w:val="00420E06"/>
    <w:rsid w:val="004214E2"/>
    <w:rsid w:val="00422529"/>
    <w:rsid w:val="004228B4"/>
    <w:rsid w:val="00423535"/>
    <w:rsid w:val="00423869"/>
    <w:rsid w:val="00424EF7"/>
    <w:rsid w:val="00425B3E"/>
    <w:rsid w:val="00426391"/>
    <w:rsid w:val="004263A3"/>
    <w:rsid w:val="0042689A"/>
    <w:rsid w:val="00427F4F"/>
    <w:rsid w:val="00432668"/>
    <w:rsid w:val="00432A49"/>
    <w:rsid w:val="00434625"/>
    <w:rsid w:val="004378F9"/>
    <w:rsid w:val="004404B4"/>
    <w:rsid w:val="00441511"/>
    <w:rsid w:val="004418A0"/>
    <w:rsid w:val="004431E6"/>
    <w:rsid w:val="00443E95"/>
    <w:rsid w:val="00444E41"/>
    <w:rsid w:val="00444EFF"/>
    <w:rsid w:val="004467B8"/>
    <w:rsid w:val="0044747E"/>
    <w:rsid w:val="00450C55"/>
    <w:rsid w:val="00450DEA"/>
    <w:rsid w:val="00451C42"/>
    <w:rsid w:val="004529ED"/>
    <w:rsid w:val="004532BF"/>
    <w:rsid w:val="004538B9"/>
    <w:rsid w:val="00454247"/>
    <w:rsid w:val="00454310"/>
    <w:rsid w:val="00454A22"/>
    <w:rsid w:val="00454BF6"/>
    <w:rsid w:val="0045675F"/>
    <w:rsid w:val="00456C8E"/>
    <w:rsid w:val="00457442"/>
    <w:rsid w:val="004600B7"/>
    <w:rsid w:val="00460821"/>
    <w:rsid w:val="00461255"/>
    <w:rsid w:val="00461863"/>
    <w:rsid w:val="00461CD7"/>
    <w:rsid w:val="0046346D"/>
    <w:rsid w:val="00463AA4"/>
    <w:rsid w:val="004641C4"/>
    <w:rsid w:val="004652BC"/>
    <w:rsid w:val="004665CF"/>
    <w:rsid w:val="00466725"/>
    <w:rsid w:val="00467C97"/>
    <w:rsid w:val="00472E4E"/>
    <w:rsid w:val="0047328F"/>
    <w:rsid w:val="00474C60"/>
    <w:rsid w:val="00475FEC"/>
    <w:rsid w:val="00476356"/>
    <w:rsid w:val="004769B9"/>
    <w:rsid w:val="00476A83"/>
    <w:rsid w:val="00477BD5"/>
    <w:rsid w:val="00480B06"/>
    <w:rsid w:val="00480E0F"/>
    <w:rsid w:val="00480EC8"/>
    <w:rsid w:val="00480F19"/>
    <w:rsid w:val="0048177D"/>
    <w:rsid w:val="00484937"/>
    <w:rsid w:val="00485DC4"/>
    <w:rsid w:val="004901E0"/>
    <w:rsid w:val="004913BC"/>
    <w:rsid w:val="004920A6"/>
    <w:rsid w:val="00493377"/>
    <w:rsid w:val="00493EEF"/>
    <w:rsid w:val="0049471F"/>
    <w:rsid w:val="004956C9"/>
    <w:rsid w:val="0049609D"/>
    <w:rsid w:val="00496269"/>
    <w:rsid w:val="00496B83"/>
    <w:rsid w:val="004A1D23"/>
    <w:rsid w:val="004A268C"/>
    <w:rsid w:val="004A30C9"/>
    <w:rsid w:val="004A5290"/>
    <w:rsid w:val="004A5D60"/>
    <w:rsid w:val="004A63D6"/>
    <w:rsid w:val="004A69CC"/>
    <w:rsid w:val="004A6F85"/>
    <w:rsid w:val="004B013F"/>
    <w:rsid w:val="004B022D"/>
    <w:rsid w:val="004B10B2"/>
    <w:rsid w:val="004B149C"/>
    <w:rsid w:val="004B1F0F"/>
    <w:rsid w:val="004B1F4E"/>
    <w:rsid w:val="004B4C0D"/>
    <w:rsid w:val="004B56FF"/>
    <w:rsid w:val="004B6AD8"/>
    <w:rsid w:val="004C02A9"/>
    <w:rsid w:val="004C0ACB"/>
    <w:rsid w:val="004C19C6"/>
    <w:rsid w:val="004C2391"/>
    <w:rsid w:val="004C55E5"/>
    <w:rsid w:val="004C5710"/>
    <w:rsid w:val="004C599E"/>
    <w:rsid w:val="004C6441"/>
    <w:rsid w:val="004D0E45"/>
    <w:rsid w:val="004D16D8"/>
    <w:rsid w:val="004D2163"/>
    <w:rsid w:val="004D27F3"/>
    <w:rsid w:val="004D281C"/>
    <w:rsid w:val="004D2A31"/>
    <w:rsid w:val="004D33B7"/>
    <w:rsid w:val="004D344C"/>
    <w:rsid w:val="004D3849"/>
    <w:rsid w:val="004D3A91"/>
    <w:rsid w:val="004D3BAE"/>
    <w:rsid w:val="004D5DEB"/>
    <w:rsid w:val="004E0BF4"/>
    <w:rsid w:val="004E18AC"/>
    <w:rsid w:val="004E2891"/>
    <w:rsid w:val="004E45E8"/>
    <w:rsid w:val="004E4B2B"/>
    <w:rsid w:val="004E7764"/>
    <w:rsid w:val="004F08E7"/>
    <w:rsid w:val="004F1044"/>
    <w:rsid w:val="004F1578"/>
    <w:rsid w:val="004F1F0D"/>
    <w:rsid w:val="004F245B"/>
    <w:rsid w:val="004F2EF6"/>
    <w:rsid w:val="004F2FBB"/>
    <w:rsid w:val="004F3F02"/>
    <w:rsid w:val="004F5738"/>
    <w:rsid w:val="004F5E97"/>
    <w:rsid w:val="004F5F59"/>
    <w:rsid w:val="004F6194"/>
    <w:rsid w:val="004F646B"/>
    <w:rsid w:val="004F71C0"/>
    <w:rsid w:val="004F7EA1"/>
    <w:rsid w:val="00500A4A"/>
    <w:rsid w:val="005015EA"/>
    <w:rsid w:val="005021B1"/>
    <w:rsid w:val="005022AF"/>
    <w:rsid w:val="00502CED"/>
    <w:rsid w:val="005038D2"/>
    <w:rsid w:val="00503D65"/>
    <w:rsid w:val="005042B8"/>
    <w:rsid w:val="00505A8C"/>
    <w:rsid w:val="00506279"/>
    <w:rsid w:val="00506617"/>
    <w:rsid w:val="00507996"/>
    <w:rsid w:val="00507D4E"/>
    <w:rsid w:val="0051170B"/>
    <w:rsid w:val="00512360"/>
    <w:rsid w:val="005127DF"/>
    <w:rsid w:val="00512AE8"/>
    <w:rsid w:val="005140C2"/>
    <w:rsid w:val="0051790A"/>
    <w:rsid w:val="00517FD2"/>
    <w:rsid w:val="00521B01"/>
    <w:rsid w:val="00522240"/>
    <w:rsid w:val="00523971"/>
    <w:rsid w:val="00523F72"/>
    <w:rsid w:val="00524752"/>
    <w:rsid w:val="005247C5"/>
    <w:rsid w:val="0052737D"/>
    <w:rsid w:val="0052743B"/>
    <w:rsid w:val="00527E1D"/>
    <w:rsid w:val="00530F43"/>
    <w:rsid w:val="005310C8"/>
    <w:rsid w:val="0053132F"/>
    <w:rsid w:val="00531340"/>
    <w:rsid w:val="005327C0"/>
    <w:rsid w:val="00533CEA"/>
    <w:rsid w:val="00533DB5"/>
    <w:rsid w:val="00534843"/>
    <w:rsid w:val="00534B7D"/>
    <w:rsid w:val="00536B73"/>
    <w:rsid w:val="0053712C"/>
    <w:rsid w:val="0053746A"/>
    <w:rsid w:val="005442EF"/>
    <w:rsid w:val="00544C63"/>
    <w:rsid w:val="00545150"/>
    <w:rsid w:val="00545596"/>
    <w:rsid w:val="00545DCB"/>
    <w:rsid w:val="00545E56"/>
    <w:rsid w:val="005501BF"/>
    <w:rsid w:val="00550718"/>
    <w:rsid w:val="00550B49"/>
    <w:rsid w:val="00550B6F"/>
    <w:rsid w:val="00550D3C"/>
    <w:rsid w:val="00550E93"/>
    <w:rsid w:val="005518D5"/>
    <w:rsid w:val="005524EA"/>
    <w:rsid w:val="005542A0"/>
    <w:rsid w:val="0055506C"/>
    <w:rsid w:val="005579DE"/>
    <w:rsid w:val="005600F9"/>
    <w:rsid w:val="005608E2"/>
    <w:rsid w:val="00560A24"/>
    <w:rsid w:val="00560C14"/>
    <w:rsid w:val="00560E51"/>
    <w:rsid w:val="005615F5"/>
    <w:rsid w:val="00561850"/>
    <w:rsid w:val="00563AF2"/>
    <w:rsid w:val="0056414B"/>
    <w:rsid w:val="00564663"/>
    <w:rsid w:val="005652A2"/>
    <w:rsid w:val="005672B8"/>
    <w:rsid w:val="0056774A"/>
    <w:rsid w:val="00567F58"/>
    <w:rsid w:val="005728A4"/>
    <w:rsid w:val="00572E3B"/>
    <w:rsid w:val="0057329A"/>
    <w:rsid w:val="00573AB1"/>
    <w:rsid w:val="0057466D"/>
    <w:rsid w:val="00576B4F"/>
    <w:rsid w:val="00577621"/>
    <w:rsid w:val="0058010A"/>
    <w:rsid w:val="005803C2"/>
    <w:rsid w:val="005804AF"/>
    <w:rsid w:val="005818E2"/>
    <w:rsid w:val="00582345"/>
    <w:rsid w:val="005823C9"/>
    <w:rsid w:val="00582514"/>
    <w:rsid w:val="00582CEC"/>
    <w:rsid w:val="005834B9"/>
    <w:rsid w:val="00584326"/>
    <w:rsid w:val="0058439C"/>
    <w:rsid w:val="005850E4"/>
    <w:rsid w:val="005854E9"/>
    <w:rsid w:val="00587191"/>
    <w:rsid w:val="00587ADC"/>
    <w:rsid w:val="00591139"/>
    <w:rsid w:val="005918D4"/>
    <w:rsid w:val="00592DFB"/>
    <w:rsid w:val="00593BFA"/>
    <w:rsid w:val="00594702"/>
    <w:rsid w:val="0059548C"/>
    <w:rsid w:val="005960CD"/>
    <w:rsid w:val="005A13A3"/>
    <w:rsid w:val="005A2911"/>
    <w:rsid w:val="005A3CF9"/>
    <w:rsid w:val="005A5ABE"/>
    <w:rsid w:val="005A6EC2"/>
    <w:rsid w:val="005A7BA3"/>
    <w:rsid w:val="005B0644"/>
    <w:rsid w:val="005B2650"/>
    <w:rsid w:val="005B2D2E"/>
    <w:rsid w:val="005B2E76"/>
    <w:rsid w:val="005B2F3D"/>
    <w:rsid w:val="005B30F2"/>
    <w:rsid w:val="005B447D"/>
    <w:rsid w:val="005B5D31"/>
    <w:rsid w:val="005B5E45"/>
    <w:rsid w:val="005B6175"/>
    <w:rsid w:val="005B61D6"/>
    <w:rsid w:val="005B6B5B"/>
    <w:rsid w:val="005B6C83"/>
    <w:rsid w:val="005B7231"/>
    <w:rsid w:val="005B7963"/>
    <w:rsid w:val="005C2041"/>
    <w:rsid w:val="005C2937"/>
    <w:rsid w:val="005C2E11"/>
    <w:rsid w:val="005C43E5"/>
    <w:rsid w:val="005C5941"/>
    <w:rsid w:val="005C5B9D"/>
    <w:rsid w:val="005D0278"/>
    <w:rsid w:val="005D0B9C"/>
    <w:rsid w:val="005D0FDD"/>
    <w:rsid w:val="005D293C"/>
    <w:rsid w:val="005D41BF"/>
    <w:rsid w:val="005D5FB7"/>
    <w:rsid w:val="005D610C"/>
    <w:rsid w:val="005D6BDC"/>
    <w:rsid w:val="005E09A7"/>
    <w:rsid w:val="005E0D7C"/>
    <w:rsid w:val="005E0E4B"/>
    <w:rsid w:val="005E1907"/>
    <w:rsid w:val="005E24D2"/>
    <w:rsid w:val="005E2672"/>
    <w:rsid w:val="005E2B1E"/>
    <w:rsid w:val="005E3361"/>
    <w:rsid w:val="005E44A2"/>
    <w:rsid w:val="005E4712"/>
    <w:rsid w:val="005E4ACD"/>
    <w:rsid w:val="005E623A"/>
    <w:rsid w:val="005E6829"/>
    <w:rsid w:val="005E6F4E"/>
    <w:rsid w:val="005E72EC"/>
    <w:rsid w:val="005E7B65"/>
    <w:rsid w:val="005F029B"/>
    <w:rsid w:val="005F084E"/>
    <w:rsid w:val="005F08C6"/>
    <w:rsid w:val="005F28CF"/>
    <w:rsid w:val="005F2D1E"/>
    <w:rsid w:val="005F3566"/>
    <w:rsid w:val="005F451F"/>
    <w:rsid w:val="005F5630"/>
    <w:rsid w:val="005F5DF2"/>
    <w:rsid w:val="0060024C"/>
    <w:rsid w:val="006011A1"/>
    <w:rsid w:val="00601932"/>
    <w:rsid w:val="00601BFF"/>
    <w:rsid w:val="00602509"/>
    <w:rsid w:val="00603AF6"/>
    <w:rsid w:val="00603EE1"/>
    <w:rsid w:val="0060483B"/>
    <w:rsid w:val="00604B1A"/>
    <w:rsid w:val="00604E4D"/>
    <w:rsid w:val="0060524F"/>
    <w:rsid w:val="006053DC"/>
    <w:rsid w:val="006056F7"/>
    <w:rsid w:val="0060734B"/>
    <w:rsid w:val="006073CF"/>
    <w:rsid w:val="00607644"/>
    <w:rsid w:val="006078DB"/>
    <w:rsid w:val="00610729"/>
    <w:rsid w:val="006108A4"/>
    <w:rsid w:val="00611059"/>
    <w:rsid w:val="0061193E"/>
    <w:rsid w:val="00611C9D"/>
    <w:rsid w:val="0061335C"/>
    <w:rsid w:val="00613838"/>
    <w:rsid w:val="00613B1D"/>
    <w:rsid w:val="00615359"/>
    <w:rsid w:val="0061761C"/>
    <w:rsid w:val="006204F2"/>
    <w:rsid w:val="00621689"/>
    <w:rsid w:val="00622B42"/>
    <w:rsid w:val="00623991"/>
    <w:rsid w:val="00623E29"/>
    <w:rsid w:val="0062443F"/>
    <w:rsid w:val="0062591F"/>
    <w:rsid w:val="006262D0"/>
    <w:rsid w:val="006268D9"/>
    <w:rsid w:val="006272DA"/>
    <w:rsid w:val="006276C4"/>
    <w:rsid w:val="00627FA4"/>
    <w:rsid w:val="0063001A"/>
    <w:rsid w:val="0063025A"/>
    <w:rsid w:val="00632967"/>
    <w:rsid w:val="0063299A"/>
    <w:rsid w:val="00633390"/>
    <w:rsid w:val="00633DAB"/>
    <w:rsid w:val="00633E60"/>
    <w:rsid w:val="0063567D"/>
    <w:rsid w:val="00637593"/>
    <w:rsid w:val="006402FF"/>
    <w:rsid w:val="00640BF1"/>
    <w:rsid w:val="00643615"/>
    <w:rsid w:val="00644D99"/>
    <w:rsid w:val="00645D69"/>
    <w:rsid w:val="00646676"/>
    <w:rsid w:val="00646AFB"/>
    <w:rsid w:val="00646E61"/>
    <w:rsid w:val="00646F59"/>
    <w:rsid w:val="00646F74"/>
    <w:rsid w:val="006524B9"/>
    <w:rsid w:val="0065355B"/>
    <w:rsid w:val="00654324"/>
    <w:rsid w:val="006548A4"/>
    <w:rsid w:val="00654A8D"/>
    <w:rsid w:val="00655E08"/>
    <w:rsid w:val="00657A45"/>
    <w:rsid w:val="006603F4"/>
    <w:rsid w:val="00660DD1"/>
    <w:rsid w:val="00661FFA"/>
    <w:rsid w:val="006620DA"/>
    <w:rsid w:val="00663AB8"/>
    <w:rsid w:val="00664E3D"/>
    <w:rsid w:val="00665730"/>
    <w:rsid w:val="00666199"/>
    <w:rsid w:val="0066630E"/>
    <w:rsid w:val="00667CFA"/>
    <w:rsid w:val="00670395"/>
    <w:rsid w:val="00670998"/>
    <w:rsid w:val="00672247"/>
    <w:rsid w:val="006729B1"/>
    <w:rsid w:val="00673ED9"/>
    <w:rsid w:val="00674B23"/>
    <w:rsid w:val="0067545F"/>
    <w:rsid w:val="00675DE9"/>
    <w:rsid w:val="00677047"/>
    <w:rsid w:val="0067724A"/>
    <w:rsid w:val="00677BC1"/>
    <w:rsid w:val="0068408B"/>
    <w:rsid w:val="006843BB"/>
    <w:rsid w:val="00684B25"/>
    <w:rsid w:val="00684D4D"/>
    <w:rsid w:val="00684F1E"/>
    <w:rsid w:val="006855F0"/>
    <w:rsid w:val="0068650B"/>
    <w:rsid w:val="00687005"/>
    <w:rsid w:val="006876AA"/>
    <w:rsid w:val="00687777"/>
    <w:rsid w:val="0068779E"/>
    <w:rsid w:val="00687CA6"/>
    <w:rsid w:val="006906DF"/>
    <w:rsid w:val="00690C01"/>
    <w:rsid w:val="006915F2"/>
    <w:rsid w:val="006927A5"/>
    <w:rsid w:val="00692DBA"/>
    <w:rsid w:val="00693720"/>
    <w:rsid w:val="00693BC7"/>
    <w:rsid w:val="00693D76"/>
    <w:rsid w:val="006941BA"/>
    <w:rsid w:val="006943DF"/>
    <w:rsid w:val="006958D1"/>
    <w:rsid w:val="00695B74"/>
    <w:rsid w:val="006970FD"/>
    <w:rsid w:val="00697BAB"/>
    <w:rsid w:val="00697FC3"/>
    <w:rsid w:val="006A025A"/>
    <w:rsid w:val="006A1C69"/>
    <w:rsid w:val="006A268E"/>
    <w:rsid w:val="006A5D68"/>
    <w:rsid w:val="006A609D"/>
    <w:rsid w:val="006A74F1"/>
    <w:rsid w:val="006A7B0B"/>
    <w:rsid w:val="006A7E33"/>
    <w:rsid w:val="006A7E9E"/>
    <w:rsid w:val="006B08C0"/>
    <w:rsid w:val="006B189B"/>
    <w:rsid w:val="006B227E"/>
    <w:rsid w:val="006B3968"/>
    <w:rsid w:val="006B48A5"/>
    <w:rsid w:val="006B52DF"/>
    <w:rsid w:val="006B5565"/>
    <w:rsid w:val="006B58CD"/>
    <w:rsid w:val="006B70A4"/>
    <w:rsid w:val="006B7F91"/>
    <w:rsid w:val="006B7FB6"/>
    <w:rsid w:val="006C06B2"/>
    <w:rsid w:val="006C11D3"/>
    <w:rsid w:val="006C1305"/>
    <w:rsid w:val="006C1DF2"/>
    <w:rsid w:val="006C2793"/>
    <w:rsid w:val="006C3009"/>
    <w:rsid w:val="006C33B2"/>
    <w:rsid w:val="006C3A17"/>
    <w:rsid w:val="006C4658"/>
    <w:rsid w:val="006C46A7"/>
    <w:rsid w:val="006C5A83"/>
    <w:rsid w:val="006C5D09"/>
    <w:rsid w:val="006C680C"/>
    <w:rsid w:val="006C6EBA"/>
    <w:rsid w:val="006D03C8"/>
    <w:rsid w:val="006D32C4"/>
    <w:rsid w:val="006D346D"/>
    <w:rsid w:val="006D374B"/>
    <w:rsid w:val="006D40CE"/>
    <w:rsid w:val="006D4B5F"/>
    <w:rsid w:val="006D5C54"/>
    <w:rsid w:val="006D64C9"/>
    <w:rsid w:val="006D70EF"/>
    <w:rsid w:val="006D7811"/>
    <w:rsid w:val="006D7A91"/>
    <w:rsid w:val="006D7E00"/>
    <w:rsid w:val="006E0D25"/>
    <w:rsid w:val="006E2C00"/>
    <w:rsid w:val="006E2FCB"/>
    <w:rsid w:val="006E30B4"/>
    <w:rsid w:val="006E34C0"/>
    <w:rsid w:val="006E3D49"/>
    <w:rsid w:val="006E3E91"/>
    <w:rsid w:val="006E42F9"/>
    <w:rsid w:val="006E4FB4"/>
    <w:rsid w:val="006E6207"/>
    <w:rsid w:val="006E62C4"/>
    <w:rsid w:val="006E66CF"/>
    <w:rsid w:val="006E67E3"/>
    <w:rsid w:val="006E6874"/>
    <w:rsid w:val="006F0735"/>
    <w:rsid w:val="006F1F71"/>
    <w:rsid w:val="006F1F9E"/>
    <w:rsid w:val="006F201C"/>
    <w:rsid w:val="006F235B"/>
    <w:rsid w:val="006F2461"/>
    <w:rsid w:val="006F25BA"/>
    <w:rsid w:val="006F4A2E"/>
    <w:rsid w:val="006F4C5D"/>
    <w:rsid w:val="006F5737"/>
    <w:rsid w:val="006F5916"/>
    <w:rsid w:val="006F65D7"/>
    <w:rsid w:val="006F799B"/>
    <w:rsid w:val="006F7F92"/>
    <w:rsid w:val="007004FD"/>
    <w:rsid w:val="0070249E"/>
    <w:rsid w:val="00704344"/>
    <w:rsid w:val="00705335"/>
    <w:rsid w:val="00706611"/>
    <w:rsid w:val="00706BC1"/>
    <w:rsid w:val="00707163"/>
    <w:rsid w:val="00710CDF"/>
    <w:rsid w:val="007119AE"/>
    <w:rsid w:val="007129DA"/>
    <w:rsid w:val="00713105"/>
    <w:rsid w:val="007141F9"/>
    <w:rsid w:val="00715903"/>
    <w:rsid w:val="00716433"/>
    <w:rsid w:val="007179F8"/>
    <w:rsid w:val="0072106E"/>
    <w:rsid w:val="00721679"/>
    <w:rsid w:val="00721F82"/>
    <w:rsid w:val="00723C72"/>
    <w:rsid w:val="00725071"/>
    <w:rsid w:val="00725525"/>
    <w:rsid w:val="00726388"/>
    <w:rsid w:val="0072695F"/>
    <w:rsid w:val="00726B00"/>
    <w:rsid w:val="00727420"/>
    <w:rsid w:val="0073079A"/>
    <w:rsid w:val="00730C17"/>
    <w:rsid w:val="0073126A"/>
    <w:rsid w:val="0073325B"/>
    <w:rsid w:val="0073398D"/>
    <w:rsid w:val="00733C7E"/>
    <w:rsid w:val="00733D41"/>
    <w:rsid w:val="0073412F"/>
    <w:rsid w:val="00734EEB"/>
    <w:rsid w:val="00735888"/>
    <w:rsid w:val="007369CD"/>
    <w:rsid w:val="00737423"/>
    <w:rsid w:val="007377F0"/>
    <w:rsid w:val="00740B0F"/>
    <w:rsid w:val="00740CF2"/>
    <w:rsid w:val="007411C2"/>
    <w:rsid w:val="007414BE"/>
    <w:rsid w:val="00741C63"/>
    <w:rsid w:val="007428C6"/>
    <w:rsid w:val="00744763"/>
    <w:rsid w:val="0074492B"/>
    <w:rsid w:val="00744BD0"/>
    <w:rsid w:val="00744CCF"/>
    <w:rsid w:val="00745A96"/>
    <w:rsid w:val="007472FB"/>
    <w:rsid w:val="0074734A"/>
    <w:rsid w:val="00750D50"/>
    <w:rsid w:val="00750E0A"/>
    <w:rsid w:val="00751D97"/>
    <w:rsid w:val="00753E0B"/>
    <w:rsid w:val="00754733"/>
    <w:rsid w:val="00757634"/>
    <w:rsid w:val="00757DC6"/>
    <w:rsid w:val="0076023F"/>
    <w:rsid w:val="007602F6"/>
    <w:rsid w:val="00760AB8"/>
    <w:rsid w:val="00761B59"/>
    <w:rsid w:val="007629B0"/>
    <w:rsid w:val="00763D8C"/>
    <w:rsid w:val="00764E72"/>
    <w:rsid w:val="007651D3"/>
    <w:rsid w:val="00765F4B"/>
    <w:rsid w:val="00766661"/>
    <w:rsid w:val="00767725"/>
    <w:rsid w:val="00770840"/>
    <w:rsid w:val="00770F47"/>
    <w:rsid w:val="00772305"/>
    <w:rsid w:val="00773109"/>
    <w:rsid w:val="007732CF"/>
    <w:rsid w:val="00774D37"/>
    <w:rsid w:val="00775637"/>
    <w:rsid w:val="00775F01"/>
    <w:rsid w:val="0077636A"/>
    <w:rsid w:val="007814D1"/>
    <w:rsid w:val="00781965"/>
    <w:rsid w:val="00782ED5"/>
    <w:rsid w:val="007830AA"/>
    <w:rsid w:val="00784E83"/>
    <w:rsid w:val="007854F0"/>
    <w:rsid w:val="0078579D"/>
    <w:rsid w:val="00786105"/>
    <w:rsid w:val="00790CE0"/>
    <w:rsid w:val="0079108C"/>
    <w:rsid w:val="00791E2F"/>
    <w:rsid w:val="0079311F"/>
    <w:rsid w:val="00793507"/>
    <w:rsid w:val="00797A64"/>
    <w:rsid w:val="00797C62"/>
    <w:rsid w:val="00797F0C"/>
    <w:rsid w:val="007A0310"/>
    <w:rsid w:val="007A12E5"/>
    <w:rsid w:val="007A1F2F"/>
    <w:rsid w:val="007A40A5"/>
    <w:rsid w:val="007A4F62"/>
    <w:rsid w:val="007A4F9E"/>
    <w:rsid w:val="007A5B94"/>
    <w:rsid w:val="007A5CDE"/>
    <w:rsid w:val="007A5E66"/>
    <w:rsid w:val="007B123E"/>
    <w:rsid w:val="007B1A05"/>
    <w:rsid w:val="007B280D"/>
    <w:rsid w:val="007B29A0"/>
    <w:rsid w:val="007B3652"/>
    <w:rsid w:val="007B3E1F"/>
    <w:rsid w:val="007B3E5B"/>
    <w:rsid w:val="007B429A"/>
    <w:rsid w:val="007B48F1"/>
    <w:rsid w:val="007B4BA0"/>
    <w:rsid w:val="007B4DE7"/>
    <w:rsid w:val="007B5708"/>
    <w:rsid w:val="007B5C7A"/>
    <w:rsid w:val="007B60B6"/>
    <w:rsid w:val="007B7225"/>
    <w:rsid w:val="007C21CC"/>
    <w:rsid w:val="007C3F78"/>
    <w:rsid w:val="007C422E"/>
    <w:rsid w:val="007C489B"/>
    <w:rsid w:val="007C6C3F"/>
    <w:rsid w:val="007C7C31"/>
    <w:rsid w:val="007D0308"/>
    <w:rsid w:val="007D0426"/>
    <w:rsid w:val="007D0567"/>
    <w:rsid w:val="007D0804"/>
    <w:rsid w:val="007D1DD7"/>
    <w:rsid w:val="007D2386"/>
    <w:rsid w:val="007D4A2A"/>
    <w:rsid w:val="007D6EBA"/>
    <w:rsid w:val="007D7360"/>
    <w:rsid w:val="007D75B2"/>
    <w:rsid w:val="007E1730"/>
    <w:rsid w:val="007E181B"/>
    <w:rsid w:val="007E21B9"/>
    <w:rsid w:val="007E4511"/>
    <w:rsid w:val="007E73CC"/>
    <w:rsid w:val="007F03F5"/>
    <w:rsid w:val="007F1EA6"/>
    <w:rsid w:val="007F361E"/>
    <w:rsid w:val="007F3A1F"/>
    <w:rsid w:val="007F3D03"/>
    <w:rsid w:val="008009B2"/>
    <w:rsid w:val="00801564"/>
    <w:rsid w:val="00801AAD"/>
    <w:rsid w:val="00801C89"/>
    <w:rsid w:val="00801DF0"/>
    <w:rsid w:val="0080207C"/>
    <w:rsid w:val="00802749"/>
    <w:rsid w:val="0080286C"/>
    <w:rsid w:val="008029EE"/>
    <w:rsid w:val="00803308"/>
    <w:rsid w:val="0080401F"/>
    <w:rsid w:val="008041F2"/>
    <w:rsid w:val="00805A6D"/>
    <w:rsid w:val="0080686F"/>
    <w:rsid w:val="00806B1A"/>
    <w:rsid w:val="00806B99"/>
    <w:rsid w:val="00807566"/>
    <w:rsid w:val="00807AA3"/>
    <w:rsid w:val="00807CE0"/>
    <w:rsid w:val="008106A2"/>
    <w:rsid w:val="00812293"/>
    <w:rsid w:val="00812EC4"/>
    <w:rsid w:val="00813010"/>
    <w:rsid w:val="00814151"/>
    <w:rsid w:val="008158F7"/>
    <w:rsid w:val="00816335"/>
    <w:rsid w:val="00817077"/>
    <w:rsid w:val="00817152"/>
    <w:rsid w:val="00817C88"/>
    <w:rsid w:val="00820183"/>
    <w:rsid w:val="0082074F"/>
    <w:rsid w:val="00820CED"/>
    <w:rsid w:val="00821051"/>
    <w:rsid w:val="008229B2"/>
    <w:rsid w:val="00823027"/>
    <w:rsid w:val="00823B2B"/>
    <w:rsid w:val="008242B2"/>
    <w:rsid w:val="0082440E"/>
    <w:rsid w:val="00824458"/>
    <w:rsid w:val="00824529"/>
    <w:rsid w:val="008259AC"/>
    <w:rsid w:val="00832819"/>
    <w:rsid w:val="00832B54"/>
    <w:rsid w:val="0083442A"/>
    <w:rsid w:val="00836351"/>
    <w:rsid w:val="00836707"/>
    <w:rsid w:val="00836BCA"/>
    <w:rsid w:val="00836E6D"/>
    <w:rsid w:val="00840341"/>
    <w:rsid w:val="00840732"/>
    <w:rsid w:val="0084120D"/>
    <w:rsid w:val="00842ADE"/>
    <w:rsid w:val="00846C15"/>
    <w:rsid w:val="00847CB6"/>
    <w:rsid w:val="00851A81"/>
    <w:rsid w:val="008522BA"/>
    <w:rsid w:val="008535AB"/>
    <w:rsid w:val="00854342"/>
    <w:rsid w:val="00854939"/>
    <w:rsid w:val="00855399"/>
    <w:rsid w:val="008566AE"/>
    <w:rsid w:val="00857178"/>
    <w:rsid w:val="0086021B"/>
    <w:rsid w:val="008606BA"/>
    <w:rsid w:val="00861D8D"/>
    <w:rsid w:val="008624AB"/>
    <w:rsid w:val="00862596"/>
    <w:rsid w:val="008649B8"/>
    <w:rsid w:val="00866F0F"/>
    <w:rsid w:val="00867BDF"/>
    <w:rsid w:val="00870998"/>
    <w:rsid w:val="00871E8B"/>
    <w:rsid w:val="00871F48"/>
    <w:rsid w:val="008722AB"/>
    <w:rsid w:val="0087282A"/>
    <w:rsid w:val="00873477"/>
    <w:rsid w:val="00873D6B"/>
    <w:rsid w:val="00874301"/>
    <w:rsid w:val="0087523A"/>
    <w:rsid w:val="008772F3"/>
    <w:rsid w:val="00877CE9"/>
    <w:rsid w:val="00880AD8"/>
    <w:rsid w:val="00883FAC"/>
    <w:rsid w:val="008845A3"/>
    <w:rsid w:val="008858CA"/>
    <w:rsid w:val="00885BF1"/>
    <w:rsid w:val="00885EDF"/>
    <w:rsid w:val="008875B3"/>
    <w:rsid w:val="008879F2"/>
    <w:rsid w:val="00887E0B"/>
    <w:rsid w:val="00887FDD"/>
    <w:rsid w:val="00890BD0"/>
    <w:rsid w:val="00891435"/>
    <w:rsid w:val="008930D9"/>
    <w:rsid w:val="00894297"/>
    <w:rsid w:val="00894AED"/>
    <w:rsid w:val="008957DE"/>
    <w:rsid w:val="00896600"/>
    <w:rsid w:val="008968BC"/>
    <w:rsid w:val="00896D37"/>
    <w:rsid w:val="008979E1"/>
    <w:rsid w:val="008A026B"/>
    <w:rsid w:val="008A1B7D"/>
    <w:rsid w:val="008A1DAC"/>
    <w:rsid w:val="008A1FD4"/>
    <w:rsid w:val="008A24A1"/>
    <w:rsid w:val="008A2B6B"/>
    <w:rsid w:val="008A5552"/>
    <w:rsid w:val="008A59C7"/>
    <w:rsid w:val="008A62CF"/>
    <w:rsid w:val="008A72C7"/>
    <w:rsid w:val="008A785E"/>
    <w:rsid w:val="008B1554"/>
    <w:rsid w:val="008B42C0"/>
    <w:rsid w:val="008B48CA"/>
    <w:rsid w:val="008B5A0D"/>
    <w:rsid w:val="008B62DD"/>
    <w:rsid w:val="008B6465"/>
    <w:rsid w:val="008B789F"/>
    <w:rsid w:val="008C0209"/>
    <w:rsid w:val="008C13C5"/>
    <w:rsid w:val="008C1601"/>
    <w:rsid w:val="008C2155"/>
    <w:rsid w:val="008C2A33"/>
    <w:rsid w:val="008C2C14"/>
    <w:rsid w:val="008C3F03"/>
    <w:rsid w:val="008C43D6"/>
    <w:rsid w:val="008C495F"/>
    <w:rsid w:val="008C532B"/>
    <w:rsid w:val="008C73B8"/>
    <w:rsid w:val="008C7A12"/>
    <w:rsid w:val="008D02F5"/>
    <w:rsid w:val="008D054A"/>
    <w:rsid w:val="008D0FA3"/>
    <w:rsid w:val="008D1E83"/>
    <w:rsid w:val="008D66A1"/>
    <w:rsid w:val="008D6938"/>
    <w:rsid w:val="008E0CD3"/>
    <w:rsid w:val="008E0D9A"/>
    <w:rsid w:val="008E1059"/>
    <w:rsid w:val="008E275A"/>
    <w:rsid w:val="008E27E3"/>
    <w:rsid w:val="008E2A7F"/>
    <w:rsid w:val="008E2B3E"/>
    <w:rsid w:val="008E2C08"/>
    <w:rsid w:val="008E4F72"/>
    <w:rsid w:val="008E5FD0"/>
    <w:rsid w:val="008E627D"/>
    <w:rsid w:val="008E6746"/>
    <w:rsid w:val="008E6F05"/>
    <w:rsid w:val="008F00C6"/>
    <w:rsid w:val="008F022D"/>
    <w:rsid w:val="008F0299"/>
    <w:rsid w:val="008F078F"/>
    <w:rsid w:val="008F0ACA"/>
    <w:rsid w:val="008F0C81"/>
    <w:rsid w:val="008F16DE"/>
    <w:rsid w:val="008F28F0"/>
    <w:rsid w:val="008F2E14"/>
    <w:rsid w:val="008F33EE"/>
    <w:rsid w:val="008F4553"/>
    <w:rsid w:val="008F496C"/>
    <w:rsid w:val="008F49E6"/>
    <w:rsid w:val="008F520C"/>
    <w:rsid w:val="008F63DD"/>
    <w:rsid w:val="008F7F05"/>
    <w:rsid w:val="008F7FEB"/>
    <w:rsid w:val="00901A40"/>
    <w:rsid w:val="00902FE7"/>
    <w:rsid w:val="00903229"/>
    <w:rsid w:val="009035FD"/>
    <w:rsid w:val="009045E8"/>
    <w:rsid w:val="00906B7B"/>
    <w:rsid w:val="009073DE"/>
    <w:rsid w:val="00907B2A"/>
    <w:rsid w:val="009100C9"/>
    <w:rsid w:val="00911618"/>
    <w:rsid w:val="009125E1"/>
    <w:rsid w:val="00912F0A"/>
    <w:rsid w:val="009151BB"/>
    <w:rsid w:val="00915905"/>
    <w:rsid w:val="00916050"/>
    <w:rsid w:val="0091668F"/>
    <w:rsid w:val="00921374"/>
    <w:rsid w:val="009215C2"/>
    <w:rsid w:val="00921AAA"/>
    <w:rsid w:val="009221AD"/>
    <w:rsid w:val="00922628"/>
    <w:rsid w:val="00922776"/>
    <w:rsid w:val="009227F2"/>
    <w:rsid w:val="00925E31"/>
    <w:rsid w:val="009266E5"/>
    <w:rsid w:val="00927476"/>
    <w:rsid w:val="00927CA4"/>
    <w:rsid w:val="00932F06"/>
    <w:rsid w:val="009334CD"/>
    <w:rsid w:val="0093357A"/>
    <w:rsid w:val="00933766"/>
    <w:rsid w:val="00933A1E"/>
    <w:rsid w:val="00934D9A"/>
    <w:rsid w:val="00935A65"/>
    <w:rsid w:val="009361CB"/>
    <w:rsid w:val="009370AE"/>
    <w:rsid w:val="00940257"/>
    <w:rsid w:val="009403B5"/>
    <w:rsid w:val="00940540"/>
    <w:rsid w:val="009414C8"/>
    <w:rsid w:val="00942518"/>
    <w:rsid w:val="0094287D"/>
    <w:rsid w:val="009428D1"/>
    <w:rsid w:val="00944828"/>
    <w:rsid w:val="00944D5C"/>
    <w:rsid w:val="00945140"/>
    <w:rsid w:val="009461D8"/>
    <w:rsid w:val="00946532"/>
    <w:rsid w:val="009521DA"/>
    <w:rsid w:val="00954DB3"/>
    <w:rsid w:val="00954E4E"/>
    <w:rsid w:val="00954EC8"/>
    <w:rsid w:val="00956AF8"/>
    <w:rsid w:val="0095751B"/>
    <w:rsid w:val="00957F08"/>
    <w:rsid w:val="00960EE9"/>
    <w:rsid w:val="00960F21"/>
    <w:rsid w:val="009646C0"/>
    <w:rsid w:val="00964BFD"/>
    <w:rsid w:val="00965AAD"/>
    <w:rsid w:val="0096622E"/>
    <w:rsid w:val="00967152"/>
    <w:rsid w:val="0096762A"/>
    <w:rsid w:val="00970409"/>
    <w:rsid w:val="0097065E"/>
    <w:rsid w:val="00970B5D"/>
    <w:rsid w:val="00970F28"/>
    <w:rsid w:val="009719BA"/>
    <w:rsid w:val="00972C60"/>
    <w:rsid w:val="00972DF2"/>
    <w:rsid w:val="0097347F"/>
    <w:rsid w:val="009741BF"/>
    <w:rsid w:val="00974EEB"/>
    <w:rsid w:val="00975E22"/>
    <w:rsid w:val="00977842"/>
    <w:rsid w:val="00977A33"/>
    <w:rsid w:val="00980F9D"/>
    <w:rsid w:val="009812C8"/>
    <w:rsid w:val="00981EBA"/>
    <w:rsid w:val="00982741"/>
    <w:rsid w:val="009827E9"/>
    <w:rsid w:val="00982BE5"/>
    <w:rsid w:val="00982E35"/>
    <w:rsid w:val="00983722"/>
    <w:rsid w:val="009838C7"/>
    <w:rsid w:val="009847A8"/>
    <w:rsid w:val="00984CD3"/>
    <w:rsid w:val="009853FC"/>
    <w:rsid w:val="00985A34"/>
    <w:rsid w:val="00987E38"/>
    <w:rsid w:val="00990C71"/>
    <w:rsid w:val="009911EA"/>
    <w:rsid w:val="00991491"/>
    <w:rsid w:val="0099196D"/>
    <w:rsid w:val="00991A84"/>
    <w:rsid w:val="00992051"/>
    <w:rsid w:val="009924F2"/>
    <w:rsid w:val="00992644"/>
    <w:rsid w:val="00992C87"/>
    <w:rsid w:val="00994200"/>
    <w:rsid w:val="00994CB8"/>
    <w:rsid w:val="00994DE4"/>
    <w:rsid w:val="009959EE"/>
    <w:rsid w:val="009965F1"/>
    <w:rsid w:val="00996B11"/>
    <w:rsid w:val="0099757E"/>
    <w:rsid w:val="00997C7D"/>
    <w:rsid w:val="00997EDE"/>
    <w:rsid w:val="009A08F2"/>
    <w:rsid w:val="009A0A0D"/>
    <w:rsid w:val="009A0B69"/>
    <w:rsid w:val="009A19DC"/>
    <w:rsid w:val="009A22CD"/>
    <w:rsid w:val="009A2615"/>
    <w:rsid w:val="009A2E35"/>
    <w:rsid w:val="009A3E29"/>
    <w:rsid w:val="009A3EDD"/>
    <w:rsid w:val="009A4396"/>
    <w:rsid w:val="009A50C6"/>
    <w:rsid w:val="009A593E"/>
    <w:rsid w:val="009A7447"/>
    <w:rsid w:val="009B0A2A"/>
    <w:rsid w:val="009B564A"/>
    <w:rsid w:val="009B60CC"/>
    <w:rsid w:val="009B636A"/>
    <w:rsid w:val="009B64F7"/>
    <w:rsid w:val="009C0074"/>
    <w:rsid w:val="009C1348"/>
    <w:rsid w:val="009C1961"/>
    <w:rsid w:val="009C1FDE"/>
    <w:rsid w:val="009C23B7"/>
    <w:rsid w:val="009C2506"/>
    <w:rsid w:val="009C2F5A"/>
    <w:rsid w:val="009C54C2"/>
    <w:rsid w:val="009C68F6"/>
    <w:rsid w:val="009D0421"/>
    <w:rsid w:val="009D08DD"/>
    <w:rsid w:val="009D36E0"/>
    <w:rsid w:val="009D3A45"/>
    <w:rsid w:val="009D3ACF"/>
    <w:rsid w:val="009D5172"/>
    <w:rsid w:val="009D52C4"/>
    <w:rsid w:val="009D5D82"/>
    <w:rsid w:val="009D6E12"/>
    <w:rsid w:val="009E0EC1"/>
    <w:rsid w:val="009E0F0F"/>
    <w:rsid w:val="009E1B25"/>
    <w:rsid w:val="009E2D7E"/>
    <w:rsid w:val="009E44FB"/>
    <w:rsid w:val="009E4EEA"/>
    <w:rsid w:val="009E5C57"/>
    <w:rsid w:val="009E73A0"/>
    <w:rsid w:val="009E7D86"/>
    <w:rsid w:val="009E7E3A"/>
    <w:rsid w:val="009F03C7"/>
    <w:rsid w:val="009F2299"/>
    <w:rsid w:val="009F2C00"/>
    <w:rsid w:val="009F33C0"/>
    <w:rsid w:val="009F3AC7"/>
    <w:rsid w:val="009F3B1A"/>
    <w:rsid w:val="009F3C09"/>
    <w:rsid w:val="009F71CB"/>
    <w:rsid w:val="009F76CF"/>
    <w:rsid w:val="009F7A71"/>
    <w:rsid w:val="009F7EFF"/>
    <w:rsid w:val="00A01899"/>
    <w:rsid w:val="00A0194C"/>
    <w:rsid w:val="00A036F4"/>
    <w:rsid w:val="00A0408E"/>
    <w:rsid w:val="00A075F6"/>
    <w:rsid w:val="00A10FDE"/>
    <w:rsid w:val="00A111C3"/>
    <w:rsid w:val="00A113D7"/>
    <w:rsid w:val="00A12064"/>
    <w:rsid w:val="00A13135"/>
    <w:rsid w:val="00A14834"/>
    <w:rsid w:val="00A14C6A"/>
    <w:rsid w:val="00A15550"/>
    <w:rsid w:val="00A15BCA"/>
    <w:rsid w:val="00A16319"/>
    <w:rsid w:val="00A16CEB"/>
    <w:rsid w:val="00A2083C"/>
    <w:rsid w:val="00A20F48"/>
    <w:rsid w:val="00A21D7B"/>
    <w:rsid w:val="00A22849"/>
    <w:rsid w:val="00A23A80"/>
    <w:rsid w:val="00A24912"/>
    <w:rsid w:val="00A2677C"/>
    <w:rsid w:val="00A2695F"/>
    <w:rsid w:val="00A26FA6"/>
    <w:rsid w:val="00A301E8"/>
    <w:rsid w:val="00A30E9C"/>
    <w:rsid w:val="00A31EC2"/>
    <w:rsid w:val="00A321D3"/>
    <w:rsid w:val="00A328DC"/>
    <w:rsid w:val="00A33C35"/>
    <w:rsid w:val="00A35117"/>
    <w:rsid w:val="00A351F3"/>
    <w:rsid w:val="00A35B35"/>
    <w:rsid w:val="00A372ED"/>
    <w:rsid w:val="00A37B0F"/>
    <w:rsid w:val="00A43BDB"/>
    <w:rsid w:val="00A44BA0"/>
    <w:rsid w:val="00A45CA4"/>
    <w:rsid w:val="00A478AB"/>
    <w:rsid w:val="00A50A59"/>
    <w:rsid w:val="00A51A8F"/>
    <w:rsid w:val="00A53444"/>
    <w:rsid w:val="00A54E63"/>
    <w:rsid w:val="00A5557F"/>
    <w:rsid w:val="00A55BB2"/>
    <w:rsid w:val="00A57122"/>
    <w:rsid w:val="00A576C5"/>
    <w:rsid w:val="00A57B7A"/>
    <w:rsid w:val="00A60149"/>
    <w:rsid w:val="00A605CB"/>
    <w:rsid w:val="00A60FFD"/>
    <w:rsid w:val="00A61718"/>
    <w:rsid w:val="00A62F1C"/>
    <w:rsid w:val="00A63590"/>
    <w:rsid w:val="00A63AD2"/>
    <w:rsid w:val="00A641E9"/>
    <w:rsid w:val="00A649E9"/>
    <w:rsid w:val="00A65E5B"/>
    <w:rsid w:val="00A661A9"/>
    <w:rsid w:val="00A66261"/>
    <w:rsid w:val="00A707DE"/>
    <w:rsid w:val="00A710B6"/>
    <w:rsid w:val="00A72051"/>
    <w:rsid w:val="00A73ADF"/>
    <w:rsid w:val="00A74725"/>
    <w:rsid w:val="00A747C6"/>
    <w:rsid w:val="00A75A84"/>
    <w:rsid w:val="00A75C4A"/>
    <w:rsid w:val="00A763C8"/>
    <w:rsid w:val="00A77093"/>
    <w:rsid w:val="00A807F4"/>
    <w:rsid w:val="00A80964"/>
    <w:rsid w:val="00A80B4D"/>
    <w:rsid w:val="00A823CD"/>
    <w:rsid w:val="00A82C0A"/>
    <w:rsid w:val="00A8477F"/>
    <w:rsid w:val="00A84BC2"/>
    <w:rsid w:val="00A84F2E"/>
    <w:rsid w:val="00A872A2"/>
    <w:rsid w:val="00A90F98"/>
    <w:rsid w:val="00A9102C"/>
    <w:rsid w:val="00A92298"/>
    <w:rsid w:val="00A93732"/>
    <w:rsid w:val="00A9399E"/>
    <w:rsid w:val="00A9422B"/>
    <w:rsid w:val="00A94839"/>
    <w:rsid w:val="00A95325"/>
    <w:rsid w:val="00A95394"/>
    <w:rsid w:val="00A96DCD"/>
    <w:rsid w:val="00AA0E9C"/>
    <w:rsid w:val="00AA1382"/>
    <w:rsid w:val="00AA5477"/>
    <w:rsid w:val="00AA6379"/>
    <w:rsid w:val="00AA7DAD"/>
    <w:rsid w:val="00AB096A"/>
    <w:rsid w:val="00AB1015"/>
    <w:rsid w:val="00AB42A9"/>
    <w:rsid w:val="00AB4AF1"/>
    <w:rsid w:val="00AB4BC0"/>
    <w:rsid w:val="00AB58B5"/>
    <w:rsid w:val="00AB5D2F"/>
    <w:rsid w:val="00AB74A6"/>
    <w:rsid w:val="00AB793A"/>
    <w:rsid w:val="00AC0E1F"/>
    <w:rsid w:val="00AC158F"/>
    <w:rsid w:val="00AC2EB4"/>
    <w:rsid w:val="00AC3D80"/>
    <w:rsid w:val="00AC4336"/>
    <w:rsid w:val="00AC7CCA"/>
    <w:rsid w:val="00AD16F8"/>
    <w:rsid w:val="00AD2178"/>
    <w:rsid w:val="00AD239B"/>
    <w:rsid w:val="00AD2776"/>
    <w:rsid w:val="00AD414B"/>
    <w:rsid w:val="00AD495D"/>
    <w:rsid w:val="00AD52F2"/>
    <w:rsid w:val="00AD564C"/>
    <w:rsid w:val="00AD594D"/>
    <w:rsid w:val="00AD63D3"/>
    <w:rsid w:val="00AD738A"/>
    <w:rsid w:val="00AD7BED"/>
    <w:rsid w:val="00AE04D4"/>
    <w:rsid w:val="00AE12DA"/>
    <w:rsid w:val="00AE1FFE"/>
    <w:rsid w:val="00AE36AC"/>
    <w:rsid w:val="00AE505D"/>
    <w:rsid w:val="00AE6D59"/>
    <w:rsid w:val="00AF025F"/>
    <w:rsid w:val="00AF0616"/>
    <w:rsid w:val="00AF06AD"/>
    <w:rsid w:val="00AF0E38"/>
    <w:rsid w:val="00AF2321"/>
    <w:rsid w:val="00AF252F"/>
    <w:rsid w:val="00AF3669"/>
    <w:rsid w:val="00AF46DA"/>
    <w:rsid w:val="00AF56A7"/>
    <w:rsid w:val="00AF6825"/>
    <w:rsid w:val="00AF6AD1"/>
    <w:rsid w:val="00AF7785"/>
    <w:rsid w:val="00B003B3"/>
    <w:rsid w:val="00B003E1"/>
    <w:rsid w:val="00B01817"/>
    <w:rsid w:val="00B02121"/>
    <w:rsid w:val="00B02244"/>
    <w:rsid w:val="00B02665"/>
    <w:rsid w:val="00B0576B"/>
    <w:rsid w:val="00B06426"/>
    <w:rsid w:val="00B067AF"/>
    <w:rsid w:val="00B068EB"/>
    <w:rsid w:val="00B1006E"/>
    <w:rsid w:val="00B10693"/>
    <w:rsid w:val="00B10FDE"/>
    <w:rsid w:val="00B11978"/>
    <w:rsid w:val="00B11CC6"/>
    <w:rsid w:val="00B11E56"/>
    <w:rsid w:val="00B13372"/>
    <w:rsid w:val="00B14367"/>
    <w:rsid w:val="00B15E3C"/>
    <w:rsid w:val="00B160DE"/>
    <w:rsid w:val="00B1746B"/>
    <w:rsid w:val="00B23DD7"/>
    <w:rsid w:val="00B241FF"/>
    <w:rsid w:val="00B24C6F"/>
    <w:rsid w:val="00B24E1C"/>
    <w:rsid w:val="00B2663D"/>
    <w:rsid w:val="00B27445"/>
    <w:rsid w:val="00B30E14"/>
    <w:rsid w:val="00B311A8"/>
    <w:rsid w:val="00B32251"/>
    <w:rsid w:val="00B323D1"/>
    <w:rsid w:val="00B32AC1"/>
    <w:rsid w:val="00B32B8D"/>
    <w:rsid w:val="00B33F9D"/>
    <w:rsid w:val="00B349FC"/>
    <w:rsid w:val="00B366C6"/>
    <w:rsid w:val="00B379CC"/>
    <w:rsid w:val="00B37BBB"/>
    <w:rsid w:val="00B4076D"/>
    <w:rsid w:val="00B40FB4"/>
    <w:rsid w:val="00B41195"/>
    <w:rsid w:val="00B4153E"/>
    <w:rsid w:val="00B415FB"/>
    <w:rsid w:val="00B4200D"/>
    <w:rsid w:val="00B46E19"/>
    <w:rsid w:val="00B47536"/>
    <w:rsid w:val="00B47D68"/>
    <w:rsid w:val="00B53433"/>
    <w:rsid w:val="00B5447E"/>
    <w:rsid w:val="00B55920"/>
    <w:rsid w:val="00B56003"/>
    <w:rsid w:val="00B5708A"/>
    <w:rsid w:val="00B5764E"/>
    <w:rsid w:val="00B60A8E"/>
    <w:rsid w:val="00B62AF1"/>
    <w:rsid w:val="00B64BA0"/>
    <w:rsid w:val="00B652B5"/>
    <w:rsid w:val="00B66456"/>
    <w:rsid w:val="00B66F76"/>
    <w:rsid w:val="00B67A70"/>
    <w:rsid w:val="00B7029A"/>
    <w:rsid w:val="00B704FE"/>
    <w:rsid w:val="00B70637"/>
    <w:rsid w:val="00B71AFC"/>
    <w:rsid w:val="00B71E6F"/>
    <w:rsid w:val="00B71ED0"/>
    <w:rsid w:val="00B72734"/>
    <w:rsid w:val="00B73452"/>
    <w:rsid w:val="00B73510"/>
    <w:rsid w:val="00B74752"/>
    <w:rsid w:val="00B7492D"/>
    <w:rsid w:val="00B764FD"/>
    <w:rsid w:val="00B770D8"/>
    <w:rsid w:val="00B7714A"/>
    <w:rsid w:val="00B7729E"/>
    <w:rsid w:val="00B802D8"/>
    <w:rsid w:val="00B81C8F"/>
    <w:rsid w:val="00B81E4F"/>
    <w:rsid w:val="00B822BC"/>
    <w:rsid w:val="00B8267E"/>
    <w:rsid w:val="00B8329F"/>
    <w:rsid w:val="00B840FA"/>
    <w:rsid w:val="00B84A38"/>
    <w:rsid w:val="00B86A4F"/>
    <w:rsid w:val="00B91029"/>
    <w:rsid w:val="00B91ED7"/>
    <w:rsid w:val="00B921D9"/>
    <w:rsid w:val="00B92F2A"/>
    <w:rsid w:val="00B95F6B"/>
    <w:rsid w:val="00B9657B"/>
    <w:rsid w:val="00BA1670"/>
    <w:rsid w:val="00BA4225"/>
    <w:rsid w:val="00BA49FB"/>
    <w:rsid w:val="00BA4AED"/>
    <w:rsid w:val="00BA691C"/>
    <w:rsid w:val="00BA74DE"/>
    <w:rsid w:val="00BA787E"/>
    <w:rsid w:val="00BB133E"/>
    <w:rsid w:val="00BB1824"/>
    <w:rsid w:val="00BB3400"/>
    <w:rsid w:val="00BB37D8"/>
    <w:rsid w:val="00BB4546"/>
    <w:rsid w:val="00BB639B"/>
    <w:rsid w:val="00BB660B"/>
    <w:rsid w:val="00BB6733"/>
    <w:rsid w:val="00BB6A58"/>
    <w:rsid w:val="00BB7B0C"/>
    <w:rsid w:val="00BB7F3D"/>
    <w:rsid w:val="00BC0137"/>
    <w:rsid w:val="00BC4BF1"/>
    <w:rsid w:val="00BC5DC3"/>
    <w:rsid w:val="00BC6587"/>
    <w:rsid w:val="00BC798A"/>
    <w:rsid w:val="00BD03DF"/>
    <w:rsid w:val="00BD0A72"/>
    <w:rsid w:val="00BD14A3"/>
    <w:rsid w:val="00BD1EDD"/>
    <w:rsid w:val="00BD1F89"/>
    <w:rsid w:val="00BD201E"/>
    <w:rsid w:val="00BD242F"/>
    <w:rsid w:val="00BD3126"/>
    <w:rsid w:val="00BD320F"/>
    <w:rsid w:val="00BD3F7B"/>
    <w:rsid w:val="00BD535A"/>
    <w:rsid w:val="00BD593A"/>
    <w:rsid w:val="00BD5D35"/>
    <w:rsid w:val="00BD6E0C"/>
    <w:rsid w:val="00BD779A"/>
    <w:rsid w:val="00BD7F61"/>
    <w:rsid w:val="00BE036C"/>
    <w:rsid w:val="00BE2B93"/>
    <w:rsid w:val="00BE30A7"/>
    <w:rsid w:val="00BE3134"/>
    <w:rsid w:val="00BE39BD"/>
    <w:rsid w:val="00BE4962"/>
    <w:rsid w:val="00BE577F"/>
    <w:rsid w:val="00BE7C5B"/>
    <w:rsid w:val="00BE7F75"/>
    <w:rsid w:val="00BF0D81"/>
    <w:rsid w:val="00BF1D07"/>
    <w:rsid w:val="00BF2030"/>
    <w:rsid w:val="00BF2E6E"/>
    <w:rsid w:val="00BF2F35"/>
    <w:rsid w:val="00BF3674"/>
    <w:rsid w:val="00BF444C"/>
    <w:rsid w:val="00BF56DF"/>
    <w:rsid w:val="00BF6892"/>
    <w:rsid w:val="00BF7C20"/>
    <w:rsid w:val="00C030C3"/>
    <w:rsid w:val="00C03659"/>
    <w:rsid w:val="00C0499D"/>
    <w:rsid w:val="00C04FB4"/>
    <w:rsid w:val="00C05092"/>
    <w:rsid w:val="00C05516"/>
    <w:rsid w:val="00C06A64"/>
    <w:rsid w:val="00C07545"/>
    <w:rsid w:val="00C07561"/>
    <w:rsid w:val="00C101B3"/>
    <w:rsid w:val="00C1066A"/>
    <w:rsid w:val="00C107D1"/>
    <w:rsid w:val="00C108C1"/>
    <w:rsid w:val="00C11A37"/>
    <w:rsid w:val="00C11CF3"/>
    <w:rsid w:val="00C11F8D"/>
    <w:rsid w:val="00C15711"/>
    <w:rsid w:val="00C15F8E"/>
    <w:rsid w:val="00C16064"/>
    <w:rsid w:val="00C16AAB"/>
    <w:rsid w:val="00C206F0"/>
    <w:rsid w:val="00C21D38"/>
    <w:rsid w:val="00C2228B"/>
    <w:rsid w:val="00C225C3"/>
    <w:rsid w:val="00C229CB"/>
    <w:rsid w:val="00C2365E"/>
    <w:rsid w:val="00C23AA6"/>
    <w:rsid w:val="00C243EF"/>
    <w:rsid w:val="00C255E3"/>
    <w:rsid w:val="00C2560C"/>
    <w:rsid w:val="00C25F87"/>
    <w:rsid w:val="00C26072"/>
    <w:rsid w:val="00C262F6"/>
    <w:rsid w:val="00C2700A"/>
    <w:rsid w:val="00C301D0"/>
    <w:rsid w:val="00C30B0E"/>
    <w:rsid w:val="00C32D0B"/>
    <w:rsid w:val="00C36BE0"/>
    <w:rsid w:val="00C36C19"/>
    <w:rsid w:val="00C374D5"/>
    <w:rsid w:val="00C4043B"/>
    <w:rsid w:val="00C40FB1"/>
    <w:rsid w:val="00C412B3"/>
    <w:rsid w:val="00C4159B"/>
    <w:rsid w:val="00C426F6"/>
    <w:rsid w:val="00C46422"/>
    <w:rsid w:val="00C47132"/>
    <w:rsid w:val="00C5132B"/>
    <w:rsid w:val="00C51AB3"/>
    <w:rsid w:val="00C52BFE"/>
    <w:rsid w:val="00C531D8"/>
    <w:rsid w:val="00C5392E"/>
    <w:rsid w:val="00C53F00"/>
    <w:rsid w:val="00C5543C"/>
    <w:rsid w:val="00C55679"/>
    <w:rsid w:val="00C5589B"/>
    <w:rsid w:val="00C56D84"/>
    <w:rsid w:val="00C613C9"/>
    <w:rsid w:val="00C62009"/>
    <w:rsid w:val="00C632A1"/>
    <w:rsid w:val="00C63537"/>
    <w:rsid w:val="00C638A2"/>
    <w:rsid w:val="00C63D50"/>
    <w:rsid w:val="00C63F6A"/>
    <w:rsid w:val="00C65250"/>
    <w:rsid w:val="00C6567E"/>
    <w:rsid w:val="00C66F1D"/>
    <w:rsid w:val="00C67280"/>
    <w:rsid w:val="00C719CB"/>
    <w:rsid w:val="00C74743"/>
    <w:rsid w:val="00C74AF4"/>
    <w:rsid w:val="00C756DE"/>
    <w:rsid w:val="00C75A92"/>
    <w:rsid w:val="00C764A8"/>
    <w:rsid w:val="00C77317"/>
    <w:rsid w:val="00C77839"/>
    <w:rsid w:val="00C77A3F"/>
    <w:rsid w:val="00C77A95"/>
    <w:rsid w:val="00C77FA8"/>
    <w:rsid w:val="00C80E21"/>
    <w:rsid w:val="00C8136D"/>
    <w:rsid w:val="00C814ED"/>
    <w:rsid w:val="00C81F30"/>
    <w:rsid w:val="00C8350F"/>
    <w:rsid w:val="00C83921"/>
    <w:rsid w:val="00C83DFB"/>
    <w:rsid w:val="00C83F54"/>
    <w:rsid w:val="00C86962"/>
    <w:rsid w:val="00C86C6E"/>
    <w:rsid w:val="00C8747B"/>
    <w:rsid w:val="00C87E80"/>
    <w:rsid w:val="00C90963"/>
    <w:rsid w:val="00C90B1F"/>
    <w:rsid w:val="00C91CE0"/>
    <w:rsid w:val="00C923C4"/>
    <w:rsid w:val="00C93145"/>
    <w:rsid w:val="00C931F7"/>
    <w:rsid w:val="00C93896"/>
    <w:rsid w:val="00C95A14"/>
    <w:rsid w:val="00C95B29"/>
    <w:rsid w:val="00C96D27"/>
    <w:rsid w:val="00C97903"/>
    <w:rsid w:val="00CA0959"/>
    <w:rsid w:val="00CA1961"/>
    <w:rsid w:val="00CA1C9F"/>
    <w:rsid w:val="00CA1EC5"/>
    <w:rsid w:val="00CA2199"/>
    <w:rsid w:val="00CA29EB"/>
    <w:rsid w:val="00CA2B82"/>
    <w:rsid w:val="00CA3257"/>
    <w:rsid w:val="00CA3C0D"/>
    <w:rsid w:val="00CA3CBB"/>
    <w:rsid w:val="00CA4779"/>
    <w:rsid w:val="00CA52D5"/>
    <w:rsid w:val="00CA5ACC"/>
    <w:rsid w:val="00CA666E"/>
    <w:rsid w:val="00CA71CC"/>
    <w:rsid w:val="00CB0AD5"/>
    <w:rsid w:val="00CB1C40"/>
    <w:rsid w:val="00CB30E6"/>
    <w:rsid w:val="00CB351E"/>
    <w:rsid w:val="00CB4AF6"/>
    <w:rsid w:val="00CB4E35"/>
    <w:rsid w:val="00CB5500"/>
    <w:rsid w:val="00CB5B38"/>
    <w:rsid w:val="00CB6673"/>
    <w:rsid w:val="00CB66CA"/>
    <w:rsid w:val="00CB6941"/>
    <w:rsid w:val="00CB7FF2"/>
    <w:rsid w:val="00CC0115"/>
    <w:rsid w:val="00CC08E4"/>
    <w:rsid w:val="00CC203B"/>
    <w:rsid w:val="00CC28D1"/>
    <w:rsid w:val="00CC2ADF"/>
    <w:rsid w:val="00CC2F45"/>
    <w:rsid w:val="00CC4355"/>
    <w:rsid w:val="00CC5171"/>
    <w:rsid w:val="00CC51FB"/>
    <w:rsid w:val="00CC6D79"/>
    <w:rsid w:val="00CD02EE"/>
    <w:rsid w:val="00CD059C"/>
    <w:rsid w:val="00CD185A"/>
    <w:rsid w:val="00CD1988"/>
    <w:rsid w:val="00CD34FF"/>
    <w:rsid w:val="00CD4705"/>
    <w:rsid w:val="00CD50CE"/>
    <w:rsid w:val="00CD5C86"/>
    <w:rsid w:val="00CD6889"/>
    <w:rsid w:val="00CE034B"/>
    <w:rsid w:val="00CE0B96"/>
    <w:rsid w:val="00CE20AF"/>
    <w:rsid w:val="00CE21C2"/>
    <w:rsid w:val="00CE21E5"/>
    <w:rsid w:val="00CE30B7"/>
    <w:rsid w:val="00CE40F8"/>
    <w:rsid w:val="00CE413C"/>
    <w:rsid w:val="00CE4309"/>
    <w:rsid w:val="00CE66CF"/>
    <w:rsid w:val="00CE6DB8"/>
    <w:rsid w:val="00CE7C73"/>
    <w:rsid w:val="00CF099B"/>
    <w:rsid w:val="00CF0B52"/>
    <w:rsid w:val="00CF1D86"/>
    <w:rsid w:val="00CF27D1"/>
    <w:rsid w:val="00CF343E"/>
    <w:rsid w:val="00CF3C35"/>
    <w:rsid w:val="00CF3E91"/>
    <w:rsid w:val="00CF487A"/>
    <w:rsid w:val="00CF574E"/>
    <w:rsid w:val="00CF6D6A"/>
    <w:rsid w:val="00CF7084"/>
    <w:rsid w:val="00D01908"/>
    <w:rsid w:val="00D038F3"/>
    <w:rsid w:val="00D049A2"/>
    <w:rsid w:val="00D05304"/>
    <w:rsid w:val="00D057FD"/>
    <w:rsid w:val="00D05FD1"/>
    <w:rsid w:val="00D0610D"/>
    <w:rsid w:val="00D0709E"/>
    <w:rsid w:val="00D07430"/>
    <w:rsid w:val="00D119B4"/>
    <w:rsid w:val="00D14276"/>
    <w:rsid w:val="00D14D5B"/>
    <w:rsid w:val="00D152FF"/>
    <w:rsid w:val="00D16C7E"/>
    <w:rsid w:val="00D16F7E"/>
    <w:rsid w:val="00D1724F"/>
    <w:rsid w:val="00D178C0"/>
    <w:rsid w:val="00D20045"/>
    <w:rsid w:val="00D20615"/>
    <w:rsid w:val="00D2209C"/>
    <w:rsid w:val="00D22291"/>
    <w:rsid w:val="00D2262A"/>
    <w:rsid w:val="00D22994"/>
    <w:rsid w:val="00D23976"/>
    <w:rsid w:val="00D25BE3"/>
    <w:rsid w:val="00D25DDF"/>
    <w:rsid w:val="00D26078"/>
    <w:rsid w:val="00D26A3A"/>
    <w:rsid w:val="00D270A8"/>
    <w:rsid w:val="00D271FD"/>
    <w:rsid w:val="00D274B7"/>
    <w:rsid w:val="00D301DA"/>
    <w:rsid w:val="00D32116"/>
    <w:rsid w:val="00D33D39"/>
    <w:rsid w:val="00D3501A"/>
    <w:rsid w:val="00D35047"/>
    <w:rsid w:val="00D41C72"/>
    <w:rsid w:val="00D43068"/>
    <w:rsid w:val="00D44AE2"/>
    <w:rsid w:val="00D4785F"/>
    <w:rsid w:val="00D47ADC"/>
    <w:rsid w:val="00D50259"/>
    <w:rsid w:val="00D50284"/>
    <w:rsid w:val="00D50646"/>
    <w:rsid w:val="00D506F5"/>
    <w:rsid w:val="00D50B32"/>
    <w:rsid w:val="00D51666"/>
    <w:rsid w:val="00D52176"/>
    <w:rsid w:val="00D52EF1"/>
    <w:rsid w:val="00D52FD8"/>
    <w:rsid w:val="00D535A4"/>
    <w:rsid w:val="00D552FF"/>
    <w:rsid w:val="00D55BBE"/>
    <w:rsid w:val="00D57011"/>
    <w:rsid w:val="00D61029"/>
    <w:rsid w:val="00D61412"/>
    <w:rsid w:val="00D621D1"/>
    <w:rsid w:val="00D622C5"/>
    <w:rsid w:val="00D62419"/>
    <w:rsid w:val="00D62D2D"/>
    <w:rsid w:val="00D641E0"/>
    <w:rsid w:val="00D6461F"/>
    <w:rsid w:val="00D656E3"/>
    <w:rsid w:val="00D66891"/>
    <w:rsid w:val="00D66A7D"/>
    <w:rsid w:val="00D66CA3"/>
    <w:rsid w:val="00D6744F"/>
    <w:rsid w:val="00D67F1F"/>
    <w:rsid w:val="00D70911"/>
    <w:rsid w:val="00D734D6"/>
    <w:rsid w:val="00D73628"/>
    <w:rsid w:val="00D76BBE"/>
    <w:rsid w:val="00D774A2"/>
    <w:rsid w:val="00D80307"/>
    <w:rsid w:val="00D83A64"/>
    <w:rsid w:val="00D857A5"/>
    <w:rsid w:val="00D860F4"/>
    <w:rsid w:val="00D86D39"/>
    <w:rsid w:val="00D87BC7"/>
    <w:rsid w:val="00D90D31"/>
    <w:rsid w:val="00D90EA0"/>
    <w:rsid w:val="00D922A3"/>
    <w:rsid w:val="00D93C72"/>
    <w:rsid w:val="00D93CF9"/>
    <w:rsid w:val="00D95652"/>
    <w:rsid w:val="00D96159"/>
    <w:rsid w:val="00D973BE"/>
    <w:rsid w:val="00D9799F"/>
    <w:rsid w:val="00DA0008"/>
    <w:rsid w:val="00DA0E4C"/>
    <w:rsid w:val="00DA1CFD"/>
    <w:rsid w:val="00DA2544"/>
    <w:rsid w:val="00DA2AE9"/>
    <w:rsid w:val="00DA3203"/>
    <w:rsid w:val="00DA4068"/>
    <w:rsid w:val="00DA41A4"/>
    <w:rsid w:val="00DA4201"/>
    <w:rsid w:val="00DA4CD4"/>
    <w:rsid w:val="00DA4ED4"/>
    <w:rsid w:val="00DA5807"/>
    <w:rsid w:val="00DA59CF"/>
    <w:rsid w:val="00DA5E6E"/>
    <w:rsid w:val="00DA6B92"/>
    <w:rsid w:val="00DA7132"/>
    <w:rsid w:val="00DA71C7"/>
    <w:rsid w:val="00DA7425"/>
    <w:rsid w:val="00DB138C"/>
    <w:rsid w:val="00DB2657"/>
    <w:rsid w:val="00DB3547"/>
    <w:rsid w:val="00DB35D3"/>
    <w:rsid w:val="00DB3793"/>
    <w:rsid w:val="00DB436F"/>
    <w:rsid w:val="00DB4777"/>
    <w:rsid w:val="00DB58A3"/>
    <w:rsid w:val="00DB65B6"/>
    <w:rsid w:val="00DB776B"/>
    <w:rsid w:val="00DC0032"/>
    <w:rsid w:val="00DC042E"/>
    <w:rsid w:val="00DC046A"/>
    <w:rsid w:val="00DC0881"/>
    <w:rsid w:val="00DC0FEF"/>
    <w:rsid w:val="00DC11B4"/>
    <w:rsid w:val="00DC44C5"/>
    <w:rsid w:val="00DC5B19"/>
    <w:rsid w:val="00DC66E6"/>
    <w:rsid w:val="00DC7857"/>
    <w:rsid w:val="00DC7A36"/>
    <w:rsid w:val="00DD0FDC"/>
    <w:rsid w:val="00DD1776"/>
    <w:rsid w:val="00DD3AB4"/>
    <w:rsid w:val="00DD3CAE"/>
    <w:rsid w:val="00DD440F"/>
    <w:rsid w:val="00DD5E1E"/>
    <w:rsid w:val="00DD5F77"/>
    <w:rsid w:val="00DD6BF0"/>
    <w:rsid w:val="00DD6C4D"/>
    <w:rsid w:val="00DD6FF3"/>
    <w:rsid w:val="00DD7EEC"/>
    <w:rsid w:val="00DE072A"/>
    <w:rsid w:val="00DE0A05"/>
    <w:rsid w:val="00DE0E92"/>
    <w:rsid w:val="00DE136F"/>
    <w:rsid w:val="00DE3BA3"/>
    <w:rsid w:val="00DE3BE7"/>
    <w:rsid w:val="00DE534B"/>
    <w:rsid w:val="00DE5C77"/>
    <w:rsid w:val="00DE6DCE"/>
    <w:rsid w:val="00DF4222"/>
    <w:rsid w:val="00DF55E5"/>
    <w:rsid w:val="00DF670A"/>
    <w:rsid w:val="00E00928"/>
    <w:rsid w:val="00E02C0A"/>
    <w:rsid w:val="00E034AF"/>
    <w:rsid w:val="00E0394A"/>
    <w:rsid w:val="00E066E0"/>
    <w:rsid w:val="00E069F3"/>
    <w:rsid w:val="00E07704"/>
    <w:rsid w:val="00E07951"/>
    <w:rsid w:val="00E1012C"/>
    <w:rsid w:val="00E113CA"/>
    <w:rsid w:val="00E115AD"/>
    <w:rsid w:val="00E13241"/>
    <w:rsid w:val="00E13F0F"/>
    <w:rsid w:val="00E140C0"/>
    <w:rsid w:val="00E14492"/>
    <w:rsid w:val="00E14900"/>
    <w:rsid w:val="00E15E04"/>
    <w:rsid w:val="00E16929"/>
    <w:rsid w:val="00E16FE3"/>
    <w:rsid w:val="00E215AB"/>
    <w:rsid w:val="00E243A6"/>
    <w:rsid w:val="00E250E0"/>
    <w:rsid w:val="00E25B13"/>
    <w:rsid w:val="00E260EB"/>
    <w:rsid w:val="00E2624C"/>
    <w:rsid w:val="00E303DC"/>
    <w:rsid w:val="00E307A9"/>
    <w:rsid w:val="00E31865"/>
    <w:rsid w:val="00E321AF"/>
    <w:rsid w:val="00E334A8"/>
    <w:rsid w:val="00E336B8"/>
    <w:rsid w:val="00E343BE"/>
    <w:rsid w:val="00E345C8"/>
    <w:rsid w:val="00E34736"/>
    <w:rsid w:val="00E356FA"/>
    <w:rsid w:val="00E362EC"/>
    <w:rsid w:val="00E3741C"/>
    <w:rsid w:val="00E37532"/>
    <w:rsid w:val="00E40026"/>
    <w:rsid w:val="00E40DE8"/>
    <w:rsid w:val="00E444E8"/>
    <w:rsid w:val="00E446E9"/>
    <w:rsid w:val="00E45365"/>
    <w:rsid w:val="00E4561D"/>
    <w:rsid w:val="00E4767C"/>
    <w:rsid w:val="00E47829"/>
    <w:rsid w:val="00E47A61"/>
    <w:rsid w:val="00E47DA2"/>
    <w:rsid w:val="00E50F35"/>
    <w:rsid w:val="00E53549"/>
    <w:rsid w:val="00E53CBB"/>
    <w:rsid w:val="00E54E64"/>
    <w:rsid w:val="00E562DD"/>
    <w:rsid w:val="00E56398"/>
    <w:rsid w:val="00E60B32"/>
    <w:rsid w:val="00E61859"/>
    <w:rsid w:val="00E63709"/>
    <w:rsid w:val="00E64000"/>
    <w:rsid w:val="00E6564E"/>
    <w:rsid w:val="00E65EBD"/>
    <w:rsid w:val="00E662DC"/>
    <w:rsid w:val="00E666E5"/>
    <w:rsid w:val="00E70937"/>
    <w:rsid w:val="00E7255D"/>
    <w:rsid w:val="00E742FD"/>
    <w:rsid w:val="00E74C23"/>
    <w:rsid w:val="00E777B7"/>
    <w:rsid w:val="00E80009"/>
    <w:rsid w:val="00E81D49"/>
    <w:rsid w:val="00E82744"/>
    <w:rsid w:val="00E82F6B"/>
    <w:rsid w:val="00E8379E"/>
    <w:rsid w:val="00E84800"/>
    <w:rsid w:val="00E85F37"/>
    <w:rsid w:val="00E85F4C"/>
    <w:rsid w:val="00E8796A"/>
    <w:rsid w:val="00E87F97"/>
    <w:rsid w:val="00E9064F"/>
    <w:rsid w:val="00E90752"/>
    <w:rsid w:val="00E908D0"/>
    <w:rsid w:val="00E909BF"/>
    <w:rsid w:val="00E90C3A"/>
    <w:rsid w:val="00E90DC2"/>
    <w:rsid w:val="00E90F74"/>
    <w:rsid w:val="00E91632"/>
    <w:rsid w:val="00E92111"/>
    <w:rsid w:val="00E92636"/>
    <w:rsid w:val="00E92A90"/>
    <w:rsid w:val="00E93169"/>
    <w:rsid w:val="00E931C5"/>
    <w:rsid w:val="00E9537F"/>
    <w:rsid w:val="00E96ACC"/>
    <w:rsid w:val="00E9786D"/>
    <w:rsid w:val="00EA0875"/>
    <w:rsid w:val="00EA0B36"/>
    <w:rsid w:val="00EA1397"/>
    <w:rsid w:val="00EA337E"/>
    <w:rsid w:val="00EA3731"/>
    <w:rsid w:val="00EA387D"/>
    <w:rsid w:val="00EA4D0C"/>
    <w:rsid w:val="00EA6848"/>
    <w:rsid w:val="00EB0337"/>
    <w:rsid w:val="00EB05B9"/>
    <w:rsid w:val="00EB3140"/>
    <w:rsid w:val="00EB541F"/>
    <w:rsid w:val="00EB58EC"/>
    <w:rsid w:val="00EB5987"/>
    <w:rsid w:val="00EB5D71"/>
    <w:rsid w:val="00EB6DD1"/>
    <w:rsid w:val="00EC024D"/>
    <w:rsid w:val="00EC1076"/>
    <w:rsid w:val="00EC13FE"/>
    <w:rsid w:val="00EC21C7"/>
    <w:rsid w:val="00EC344D"/>
    <w:rsid w:val="00EC3846"/>
    <w:rsid w:val="00EC3E76"/>
    <w:rsid w:val="00EC427C"/>
    <w:rsid w:val="00EC58C3"/>
    <w:rsid w:val="00EC707C"/>
    <w:rsid w:val="00EC766C"/>
    <w:rsid w:val="00ED082B"/>
    <w:rsid w:val="00ED0B2B"/>
    <w:rsid w:val="00ED1706"/>
    <w:rsid w:val="00ED1AA6"/>
    <w:rsid w:val="00ED2D43"/>
    <w:rsid w:val="00ED3311"/>
    <w:rsid w:val="00ED37A8"/>
    <w:rsid w:val="00ED44BC"/>
    <w:rsid w:val="00ED6220"/>
    <w:rsid w:val="00EE26A5"/>
    <w:rsid w:val="00EE270A"/>
    <w:rsid w:val="00EE30A5"/>
    <w:rsid w:val="00EE3F24"/>
    <w:rsid w:val="00EE57DC"/>
    <w:rsid w:val="00EE5B89"/>
    <w:rsid w:val="00EE69E6"/>
    <w:rsid w:val="00EE703A"/>
    <w:rsid w:val="00EE7885"/>
    <w:rsid w:val="00EF07F7"/>
    <w:rsid w:val="00EF086A"/>
    <w:rsid w:val="00EF1CCB"/>
    <w:rsid w:val="00EF28C4"/>
    <w:rsid w:val="00EF35C6"/>
    <w:rsid w:val="00EF46F9"/>
    <w:rsid w:val="00EF70BF"/>
    <w:rsid w:val="00F015F5"/>
    <w:rsid w:val="00F02020"/>
    <w:rsid w:val="00F02AF7"/>
    <w:rsid w:val="00F0333C"/>
    <w:rsid w:val="00F036F4"/>
    <w:rsid w:val="00F03BA5"/>
    <w:rsid w:val="00F03E1C"/>
    <w:rsid w:val="00F0592C"/>
    <w:rsid w:val="00F06EFA"/>
    <w:rsid w:val="00F10AE8"/>
    <w:rsid w:val="00F11036"/>
    <w:rsid w:val="00F11353"/>
    <w:rsid w:val="00F11843"/>
    <w:rsid w:val="00F11AC5"/>
    <w:rsid w:val="00F12729"/>
    <w:rsid w:val="00F128D1"/>
    <w:rsid w:val="00F12C76"/>
    <w:rsid w:val="00F13ADD"/>
    <w:rsid w:val="00F13EB6"/>
    <w:rsid w:val="00F1491C"/>
    <w:rsid w:val="00F14FC4"/>
    <w:rsid w:val="00F15F58"/>
    <w:rsid w:val="00F16117"/>
    <w:rsid w:val="00F168B5"/>
    <w:rsid w:val="00F16CA1"/>
    <w:rsid w:val="00F17348"/>
    <w:rsid w:val="00F17481"/>
    <w:rsid w:val="00F21885"/>
    <w:rsid w:val="00F2241F"/>
    <w:rsid w:val="00F2242E"/>
    <w:rsid w:val="00F2288B"/>
    <w:rsid w:val="00F22D5A"/>
    <w:rsid w:val="00F239D2"/>
    <w:rsid w:val="00F23DE0"/>
    <w:rsid w:val="00F23EC8"/>
    <w:rsid w:val="00F252DE"/>
    <w:rsid w:val="00F253F1"/>
    <w:rsid w:val="00F26154"/>
    <w:rsid w:val="00F26A7D"/>
    <w:rsid w:val="00F26DB0"/>
    <w:rsid w:val="00F27361"/>
    <w:rsid w:val="00F27461"/>
    <w:rsid w:val="00F3105D"/>
    <w:rsid w:val="00F33497"/>
    <w:rsid w:val="00F33866"/>
    <w:rsid w:val="00F34179"/>
    <w:rsid w:val="00F36039"/>
    <w:rsid w:val="00F3619C"/>
    <w:rsid w:val="00F37121"/>
    <w:rsid w:val="00F37311"/>
    <w:rsid w:val="00F41355"/>
    <w:rsid w:val="00F41B02"/>
    <w:rsid w:val="00F41E72"/>
    <w:rsid w:val="00F42BBF"/>
    <w:rsid w:val="00F4350C"/>
    <w:rsid w:val="00F43918"/>
    <w:rsid w:val="00F43BC9"/>
    <w:rsid w:val="00F45C53"/>
    <w:rsid w:val="00F468BE"/>
    <w:rsid w:val="00F46DC4"/>
    <w:rsid w:val="00F47D4A"/>
    <w:rsid w:val="00F47E69"/>
    <w:rsid w:val="00F501E7"/>
    <w:rsid w:val="00F50E16"/>
    <w:rsid w:val="00F52A08"/>
    <w:rsid w:val="00F52EE0"/>
    <w:rsid w:val="00F537E8"/>
    <w:rsid w:val="00F53D92"/>
    <w:rsid w:val="00F54B5A"/>
    <w:rsid w:val="00F5591C"/>
    <w:rsid w:val="00F567DB"/>
    <w:rsid w:val="00F577BD"/>
    <w:rsid w:val="00F60152"/>
    <w:rsid w:val="00F6075A"/>
    <w:rsid w:val="00F607BE"/>
    <w:rsid w:val="00F6111D"/>
    <w:rsid w:val="00F61C9D"/>
    <w:rsid w:val="00F61CD9"/>
    <w:rsid w:val="00F624F0"/>
    <w:rsid w:val="00F62E73"/>
    <w:rsid w:val="00F63204"/>
    <w:rsid w:val="00F6398C"/>
    <w:rsid w:val="00F63C30"/>
    <w:rsid w:val="00F64596"/>
    <w:rsid w:val="00F64EFE"/>
    <w:rsid w:val="00F64FF1"/>
    <w:rsid w:val="00F6659E"/>
    <w:rsid w:val="00F66992"/>
    <w:rsid w:val="00F70BC9"/>
    <w:rsid w:val="00F70E88"/>
    <w:rsid w:val="00F7124E"/>
    <w:rsid w:val="00F7503E"/>
    <w:rsid w:val="00F76443"/>
    <w:rsid w:val="00F76B6E"/>
    <w:rsid w:val="00F774A7"/>
    <w:rsid w:val="00F77780"/>
    <w:rsid w:val="00F77D03"/>
    <w:rsid w:val="00F8032C"/>
    <w:rsid w:val="00F806B8"/>
    <w:rsid w:val="00F80A44"/>
    <w:rsid w:val="00F80CA0"/>
    <w:rsid w:val="00F81085"/>
    <w:rsid w:val="00F81656"/>
    <w:rsid w:val="00F81B3C"/>
    <w:rsid w:val="00F82E49"/>
    <w:rsid w:val="00F83B56"/>
    <w:rsid w:val="00F85B04"/>
    <w:rsid w:val="00F86B94"/>
    <w:rsid w:val="00F874A8"/>
    <w:rsid w:val="00F90D8F"/>
    <w:rsid w:val="00F90F5D"/>
    <w:rsid w:val="00F91093"/>
    <w:rsid w:val="00F93DCC"/>
    <w:rsid w:val="00F93EF9"/>
    <w:rsid w:val="00F940BF"/>
    <w:rsid w:val="00F9423C"/>
    <w:rsid w:val="00F96382"/>
    <w:rsid w:val="00F97495"/>
    <w:rsid w:val="00FA02CD"/>
    <w:rsid w:val="00FA07A8"/>
    <w:rsid w:val="00FA08A9"/>
    <w:rsid w:val="00FA09B7"/>
    <w:rsid w:val="00FA0FDD"/>
    <w:rsid w:val="00FA158A"/>
    <w:rsid w:val="00FA1B15"/>
    <w:rsid w:val="00FA3294"/>
    <w:rsid w:val="00FA3607"/>
    <w:rsid w:val="00FA3912"/>
    <w:rsid w:val="00FA3A33"/>
    <w:rsid w:val="00FA5BD0"/>
    <w:rsid w:val="00FA658C"/>
    <w:rsid w:val="00FA7C9B"/>
    <w:rsid w:val="00FB0762"/>
    <w:rsid w:val="00FB0947"/>
    <w:rsid w:val="00FB1603"/>
    <w:rsid w:val="00FB19E7"/>
    <w:rsid w:val="00FB1D11"/>
    <w:rsid w:val="00FB211B"/>
    <w:rsid w:val="00FB281F"/>
    <w:rsid w:val="00FB3534"/>
    <w:rsid w:val="00FB3CF4"/>
    <w:rsid w:val="00FB3E90"/>
    <w:rsid w:val="00FB4883"/>
    <w:rsid w:val="00FB4AAD"/>
    <w:rsid w:val="00FB61F4"/>
    <w:rsid w:val="00FB7B0F"/>
    <w:rsid w:val="00FC3C89"/>
    <w:rsid w:val="00FC4303"/>
    <w:rsid w:val="00FC514C"/>
    <w:rsid w:val="00FC6805"/>
    <w:rsid w:val="00FC75A3"/>
    <w:rsid w:val="00FD103B"/>
    <w:rsid w:val="00FD11F2"/>
    <w:rsid w:val="00FD1CBC"/>
    <w:rsid w:val="00FD3C15"/>
    <w:rsid w:val="00FD511F"/>
    <w:rsid w:val="00FD517F"/>
    <w:rsid w:val="00FD706D"/>
    <w:rsid w:val="00FD751E"/>
    <w:rsid w:val="00FE02FD"/>
    <w:rsid w:val="00FE045B"/>
    <w:rsid w:val="00FE173C"/>
    <w:rsid w:val="00FE189C"/>
    <w:rsid w:val="00FE1EB8"/>
    <w:rsid w:val="00FE1F43"/>
    <w:rsid w:val="00FE2F10"/>
    <w:rsid w:val="00FE3649"/>
    <w:rsid w:val="00FE470E"/>
    <w:rsid w:val="00FE4B08"/>
    <w:rsid w:val="00FE73A4"/>
    <w:rsid w:val="00FE7D3F"/>
    <w:rsid w:val="00FF0B1A"/>
    <w:rsid w:val="00FF31DD"/>
    <w:rsid w:val="00FF3300"/>
    <w:rsid w:val="00FF4CF6"/>
    <w:rsid w:val="00FF7B57"/>
    <w:rsid w:val="047847D4"/>
    <w:rsid w:val="05E0685A"/>
    <w:rsid w:val="06D64FA7"/>
    <w:rsid w:val="07756EFE"/>
    <w:rsid w:val="09836D53"/>
    <w:rsid w:val="0B456701"/>
    <w:rsid w:val="0BEA5156"/>
    <w:rsid w:val="0D056E22"/>
    <w:rsid w:val="0D0838DD"/>
    <w:rsid w:val="0F7033CE"/>
    <w:rsid w:val="107312A7"/>
    <w:rsid w:val="10985098"/>
    <w:rsid w:val="13BA4F0D"/>
    <w:rsid w:val="13D87E3F"/>
    <w:rsid w:val="155613AA"/>
    <w:rsid w:val="15EC2D36"/>
    <w:rsid w:val="18B3157A"/>
    <w:rsid w:val="18F32A5B"/>
    <w:rsid w:val="1908212B"/>
    <w:rsid w:val="1A96757A"/>
    <w:rsid w:val="1B222394"/>
    <w:rsid w:val="1C532529"/>
    <w:rsid w:val="1DB40934"/>
    <w:rsid w:val="1E0A0B91"/>
    <w:rsid w:val="1EAF1FB1"/>
    <w:rsid w:val="20561A58"/>
    <w:rsid w:val="21415870"/>
    <w:rsid w:val="21DD39D5"/>
    <w:rsid w:val="22743C3C"/>
    <w:rsid w:val="23BC42A0"/>
    <w:rsid w:val="24C9192A"/>
    <w:rsid w:val="265F66D7"/>
    <w:rsid w:val="28CF74CD"/>
    <w:rsid w:val="2A623900"/>
    <w:rsid w:val="2B557C4F"/>
    <w:rsid w:val="2E3175E7"/>
    <w:rsid w:val="2F56013C"/>
    <w:rsid w:val="32A26E76"/>
    <w:rsid w:val="33084272"/>
    <w:rsid w:val="349A425C"/>
    <w:rsid w:val="35EA789F"/>
    <w:rsid w:val="370A5A9D"/>
    <w:rsid w:val="382277C2"/>
    <w:rsid w:val="39827D80"/>
    <w:rsid w:val="3CA312BD"/>
    <w:rsid w:val="3E1C593F"/>
    <w:rsid w:val="40144680"/>
    <w:rsid w:val="411D7155"/>
    <w:rsid w:val="420C7C82"/>
    <w:rsid w:val="44AF7201"/>
    <w:rsid w:val="455C2059"/>
    <w:rsid w:val="474A6DC2"/>
    <w:rsid w:val="47A774F1"/>
    <w:rsid w:val="491629F1"/>
    <w:rsid w:val="4B344141"/>
    <w:rsid w:val="4BCA232E"/>
    <w:rsid w:val="4C2120CA"/>
    <w:rsid w:val="4EBF7527"/>
    <w:rsid w:val="50DE5604"/>
    <w:rsid w:val="52A70533"/>
    <w:rsid w:val="53BA0CB1"/>
    <w:rsid w:val="54E55DDE"/>
    <w:rsid w:val="56416145"/>
    <w:rsid w:val="5A983F4E"/>
    <w:rsid w:val="5AF22068"/>
    <w:rsid w:val="5B3A2A51"/>
    <w:rsid w:val="5BC97C04"/>
    <w:rsid w:val="60545435"/>
    <w:rsid w:val="617C0449"/>
    <w:rsid w:val="64AB0A16"/>
    <w:rsid w:val="65DF08CE"/>
    <w:rsid w:val="670373A4"/>
    <w:rsid w:val="68C206C9"/>
    <w:rsid w:val="6AE03020"/>
    <w:rsid w:val="6C6F4FEF"/>
    <w:rsid w:val="6D6E6535"/>
    <w:rsid w:val="6DDA4496"/>
    <w:rsid w:val="703F0D7F"/>
    <w:rsid w:val="71C10AD2"/>
    <w:rsid w:val="71E74122"/>
    <w:rsid w:val="72C828B9"/>
    <w:rsid w:val="733C577D"/>
    <w:rsid w:val="73A314DC"/>
    <w:rsid w:val="73F84817"/>
    <w:rsid w:val="75985B42"/>
    <w:rsid w:val="75C86F88"/>
    <w:rsid w:val="773706A7"/>
    <w:rsid w:val="78F423AC"/>
    <w:rsid w:val="7D1B53DE"/>
    <w:rsid w:val="7F8D2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 w:locked="1"/>
    <w:lsdException w:qFormat="1" w:unhideWhenUsed="0" w:uiPriority="0" w:semiHidden="0" w:name="heading 4" w:locked="1"/>
    <w:lsdException w:qFormat="1" w:unhideWhenUsed="0" w:uiPriority="0" w:semiHidden="0" w:name="heading 5" w:locked="1"/>
    <w:lsdException w:qFormat="1" w:unhideWhenUsed="0" w:uiPriority="0" w:semiHidden="0" w:name="heading 6" w:locked="1"/>
    <w:lsdException w:qFormat="1" w:unhideWhenUsed="0" w:uiPriority="0" w:semiHidden="0" w:name="heading 7" w:locked="1"/>
    <w:lsdException w:qFormat="1" w:unhideWhenUsed="0" w:uiPriority="0" w:semiHidden="0" w:name="heading 8" w:locked="1"/>
    <w:lsdException w:qFormat="1" w:unhideWhenUsed="0" w:uiPriority="0" w:semiHidden="0" w:name="heading 9" w:locked="1"/>
    <w:lsdException w:qFormat="1"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iPriority="39" w:semiHidden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qFormat="1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/>
    <w:lsdException w:qFormat="1" w:uiPriority="0" w:name="Document Map"/>
    <w:lsdException w:qFormat="1" w:uiPriority="99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styleId="2">
    <w:name w:val="heading 1"/>
    <w:basedOn w:val="1"/>
    <w:next w:val="1"/>
    <w:link w:val="43"/>
    <w:qFormat/>
    <w:uiPriority w:val="0"/>
    <w:pPr>
      <w:keepNext/>
      <w:tabs>
        <w:tab w:val="left" w:pos="432"/>
      </w:tabs>
      <w:spacing w:beforeLines="60"/>
      <w:outlineLvl w:val="0"/>
    </w:pPr>
    <w:rPr>
      <w:i/>
      <w:color w:val="FF0000"/>
      <w:sz w:val="22"/>
      <w:szCs w:val="22"/>
    </w:rPr>
  </w:style>
  <w:style w:type="paragraph" w:styleId="3">
    <w:name w:val="heading 2"/>
    <w:basedOn w:val="1"/>
    <w:next w:val="1"/>
    <w:link w:val="44"/>
    <w:qFormat/>
    <w:uiPriority w:val="0"/>
    <w:pPr>
      <w:keepNext/>
      <w:numPr>
        <w:ilvl w:val="0"/>
        <w:numId w:val="1"/>
      </w:numPr>
      <w:tabs>
        <w:tab w:val="left" w:pos="426"/>
      </w:tabs>
      <w:ind w:right="-1"/>
      <w:contextualSpacing/>
      <w:outlineLvl w:val="1"/>
    </w:pPr>
    <w:rPr>
      <w:b/>
      <w:szCs w:val="20"/>
    </w:rPr>
  </w:style>
  <w:style w:type="paragraph" w:styleId="4">
    <w:name w:val="heading 3"/>
    <w:basedOn w:val="1"/>
    <w:next w:val="1"/>
    <w:link w:val="45"/>
    <w:qFormat/>
    <w:locked/>
    <w:uiPriority w:val="0"/>
    <w:pPr>
      <w:keepNext/>
      <w:numPr>
        <w:ilvl w:val="0"/>
        <w:numId w:val="2"/>
      </w:numPr>
      <w:spacing w:before="240" w:after="120"/>
      <w:outlineLvl w:val="2"/>
    </w:pPr>
    <w:rPr>
      <w:rFonts w:cs="Arial"/>
      <w:b/>
      <w:bCs/>
      <w:szCs w:val="26"/>
    </w:rPr>
  </w:style>
  <w:style w:type="paragraph" w:styleId="5">
    <w:name w:val="heading 4"/>
    <w:basedOn w:val="1"/>
    <w:next w:val="1"/>
    <w:link w:val="46"/>
    <w:qFormat/>
    <w:locked/>
    <w:uiPriority w:val="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47"/>
    <w:qFormat/>
    <w:locked/>
    <w:uiPriority w:val="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48"/>
    <w:qFormat/>
    <w:locked/>
    <w:uiPriority w:val="0"/>
    <w:pPr>
      <w:keepNext/>
      <w:ind w:left="5760" w:firstLine="720"/>
      <w:jc w:val="both"/>
      <w:outlineLvl w:val="5"/>
    </w:pPr>
    <w:rPr>
      <w:sz w:val="28"/>
      <w:szCs w:val="20"/>
    </w:rPr>
  </w:style>
  <w:style w:type="paragraph" w:styleId="8">
    <w:name w:val="heading 7"/>
    <w:basedOn w:val="1"/>
    <w:next w:val="1"/>
    <w:link w:val="49"/>
    <w:qFormat/>
    <w:locked/>
    <w:uiPriority w:val="0"/>
    <w:pPr>
      <w:keepNext/>
      <w:ind w:left="6480" w:firstLine="720"/>
      <w:jc w:val="both"/>
      <w:outlineLvl w:val="6"/>
    </w:pPr>
    <w:rPr>
      <w:b/>
      <w:szCs w:val="20"/>
    </w:rPr>
  </w:style>
  <w:style w:type="paragraph" w:styleId="9">
    <w:name w:val="heading 8"/>
    <w:basedOn w:val="1"/>
    <w:next w:val="1"/>
    <w:link w:val="50"/>
    <w:qFormat/>
    <w:locked/>
    <w:uiPriority w:val="0"/>
    <w:pPr>
      <w:keepNext/>
      <w:ind w:firstLine="720"/>
      <w:outlineLvl w:val="7"/>
    </w:pPr>
    <w:rPr>
      <w:rFonts w:ascii="Arial" w:hAnsi="Arial" w:cs="Arial"/>
      <w:b/>
      <w:bCs/>
    </w:rPr>
  </w:style>
  <w:style w:type="paragraph" w:styleId="10">
    <w:name w:val="heading 9"/>
    <w:basedOn w:val="1"/>
    <w:next w:val="1"/>
    <w:link w:val="51"/>
    <w:qFormat/>
    <w:locked/>
    <w:uiPriority w:val="0"/>
    <w:pPr>
      <w:keepNext/>
      <w:shd w:val="clear" w:color="auto" w:fill="FFFFFF"/>
      <w:ind w:left="6" w:hanging="11"/>
      <w:jc w:val="center"/>
      <w:outlineLvl w:val="8"/>
    </w:pPr>
    <w:rPr>
      <w:spacing w:val="-3"/>
      <w:sz w:val="28"/>
      <w:szCs w:val="28"/>
    </w:rPr>
  </w:style>
  <w:style w:type="character" w:default="1" w:styleId="35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53"/>
    <w:semiHidden/>
    <w:qFormat/>
    <w:uiPriority w:val="0"/>
    <w:rPr>
      <w:rFonts w:ascii="Tahoma" w:hAnsi="Tahoma" w:cs="Tahoma"/>
      <w:sz w:val="16"/>
      <w:szCs w:val="16"/>
    </w:rPr>
  </w:style>
  <w:style w:type="paragraph" w:styleId="12">
    <w:name w:val="List Continue"/>
    <w:basedOn w:val="1"/>
    <w:qFormat/>
    <w:uiPriority w:val="0"/>
    <w:pPr>
      <w:spacing w:before="60" w:after="60" w:line="360" w:lineRule="auto"/>
      <w:ind w:left="680"/>
      <w:jc w:val="both"/>
    </w:pPr>
    <w:rPr>
      <w:spacing w:val="-2"/>
      <w:szCs w:val="20"/>
      <w:lang w:eastAsia="en-US"/>
    </w:rPr>
  </w:style>
  <w:style w:type="paragraph" w:styleId="13">
    <w:name w:val="Body Text 2"/>
    <w:basedOn w:val="1"/>
    <w:link w:val="63"/>
    <w:qFormat/>
    <w:uiPriority w:val="0"/>
    <w:rPr>
      <w:color w:val="FF0000"/>
      <w:sz w:val="22"/>
      <w:szCs w:val="22"/>
    </w:rPr>
  </w:style>
  <w:style w:type="paragraph" w:styleId="14">
    <w:name w:val="Plain Text"/>
    <w:basedOn w:val="1"/>
    <w:link w:val="215"/>
    <w:unhideWhenUsed/>
    <w:qFormat/>
    <w:uiPriority w:val="99"/>
    <w:rPr>
      <w:rFonts w:ascii="Calibri" w:hAnsi="Calibri" w:eastAsia="Calibri"/>
      <w:color w:val="auto"/>
      <w:sz w:val="22"/>
      <w:szCs w:val="21"/>
      <w:lang w:eastAsia="en-US"/>
    </w:rPr>
  </w:style>
  <w:style w:type="paragraph" w:styleId="15">
    <w:name w:val="Body Text Indent 3"/>
    <w:basedOn w:val="1"/>
    <w:link w:val="64"/>
    <w:qFormat/>
    <w:uiPriority w:val="0"/>
    <w:pPr>
      <w:tabs>
        <w:tab w:val="left" w:pos="252"/>
        <w:tab w:val="left" w:pos="342"/>
      </w:tabs>
      <w:ind w:firstLine="431"/>
      <w:jc w:val="both"/>
    </w:pPr>
    <w:rPr>
      <w:sz w:val="22"/>
      <w:szCs w:val="22"/>
    </w:rPr>
  </w:style>
  <w:style w:type="paragraph" w:styleId="16">
    <w:name w:val="annotation text"/>
    <w:basedOn w:val="1"/>
    <w:link w:val="56"/>
    <w:qFormat/>
    <w:uiPriority w:val="0"/>
    <w:rPr>
      <w:rFonts w:eastAsia="SimSun"/>
      <w:sz w:val="20"/>
      <w:szCs w:val="20"/>
      <w:lang w:eastAsia="zh-CN"/>
    </w:rPr>
  </w:style>
  <w:style w:type="paragraph" w:styleId="17">
    <w:name w:val="index 1"/>
    <w:basedOn w:val="1"/>
    <w:next w:val="1"/>
    <w:qFormat/>
    <w:uiPriority w:val="0"/>
  </w:style>
  <w:style w:type="paragraph" w:styleId="18">
    <w:name w:val="annotation subject"/>
    <w:basedOn w:val="16"/>
    <w:next w:val="16"/>
    <w:link w:val="57"/>
    <w:semiHidden/>
    <w:qFormat/>
    <w:uiPriority w:val="0"/>
    <w:rPr>
      <w:rFonts w:eastAsia="Times New Roman"/>
      <w:b/>
      <w:bCs/>
      <w:lang w:eastAsia="ru-RU"/>
    </w:rPr>
  </w:style>
  <w:style w:type="paragraph" w:styleId="19">
    <w:name w:val="Document Map"/>
    <w:basedOn w:val="1"/>
    <w:link w:val="91"/>
    <w:semiHidden/>
    <w:unhideWhenUsed/>
    <w:qFormat/>
    <w:uiPriority w:val="0"/>
    <w:rPr>
      <w:rFonts w:ascii="Tahoma" w:hAnsi="Tahoma" w:cs="Tahoma"/>
      <w:sz w:val="16"/>
      <w:szCs w:val="16"/>
      <w:lang w:eastAsia="en-US"/>
    </w:rPr>
  </w:style>
  <w:style w:type="paragraph" w:styleId="20">
    <w:name w:val="footnote text"/>
    <w:basedOn w:val="1"/>
    <w:link w:val="60"/>
    <w:qFormat/>
    <w:uiPriority w:val="0"/>
    <w:rPr>
      <w:sz w:val="20"/>
      <w:szCs w:val="20"/>
    </w:rPr>
  </w:style>
  <w:style w:type="paragraph" w:styleId="21">
    <w:name w:val="header"/>
    <w:basedOn w:val="1"/>
    <w:link w:val="58"/>
    <w:qFormat/>
    <w:uiPriority w:val="0"/>
    <w:pPr>
      <w:tabs>
        <w:tab w:val="center" w:pos="4677"/>
        <w:tab w:val="right" w:pos="9355"/>
      </w:tabs>
    </w:pPr>
  </w:style>
  <w:style w:type="paragraph" w:styleId="22">
    <w:name w:val="toc 9"/>
    <w:basedOn w:val="1"/>
    <w:next w:val="1"/>
    <w:unhideWhenUsed/>
    <w:qFormat/>
    <w:uiPriority w:val="0"/>
    <w:pPr>
      <w:tabs>
        <w:tab w:val="right" w:leader="dot" w:pos="9344"/>
      </w:tabs>
    </w:pPr>
  </w:style>
  <w:style w:type="paragraph" w:styleId="23">
    <w:name w:val="Body Text"/>
    <w:basedOn w:val="1"/>
    <w:link w:val="52"/>
    <w:qFormat/>
    <w:uiPriority w:val="0"/>
    <w:pPr>
      <w:jc w:val="right"/>
    </w:pPr>
    <w:rPr>
      <w:szCs w:val="20"/>
    </w:rPr>
  </w:style>
  <w:style w:type="paragraph" w:styleId="24">
    <w:name w:val="toc 1"/>
    <w:basedOn w:val="1"/>
    <w:next w:val="1"/>
    <w:qFormat/>
    <w:uiPriority w:val="39"/>
    <w:pPr>
      <w:tabs>
        <w:tab w:val="right" w:leader="dot" w:pos="9344"/>
      </w:tabs>
      <w:spacing w:after="120"/>
      <w:ind w:right="1134"/>
    </w:pPr>
    <w:rPr>
      <w:lang w:eastAsia="en-US"/>
    </w:rPr>
  </w:style>
  <w:style w:type="paragraph" w:styleId="25">
    <w:name w:val="toc 2"/>
    <w:basedOn w:val="1"/>
    <w:next w:val="1"/>
    <w:unhideWhenUsed/>
    <w:qFormat/>
    <w:uiPriority w:val="39"/>
    <w:pPr>
      <w:tabs>
        <w:tab w:val="left" w:pos="660"/>
        <w:tab w:val="right" w:leader="dot" w:pos="9344"/>
      </w:tabs>
      <w:spacing w:after="100"/>
      <w:ind w:left="709" w:hanging="469"/>
      <w:jc w:val="both"/>
    </w:pPr>
    <w:rPr>
      <w:rFonts w:eastAsiaTheme="minorEastAsia"/>
      <w:b/>
      <w:color w:val="auto"/>
      <w:szCs w:val="20"/>
      <w:lang w:eastAsia="en-US"/>
    </w:rPr>
  </w:style>
  <w:style w:type="paragraph" w:styleId="26">
    <w:name w:val="Body Text Indent"/>
    <w:basedOn w:val="1"/>
    <w:link w:val="62"/>
    <w:qFormat/>
    <w:uiPriority w:val="0"/>
    <w:pPr>
      <w:tabs>
        <w:tab w:val="left" w:pos="432"/>
      </w:tabs>
      <w:spacing w:beforeLines="60"/>
      <w:ind w:left="360"/>
      <w:jc w:val="both"/>
    </w:pPr>
    <w:rPr>
      <w:color w:val="FF00FF"/>
      <w:sz w:val="22"/>
      <w:szCs w:val="22"/>
    </w:rPr>
  </w:style>
  <w:style w:type="paragraph" w:styleId="27">
    <w:name w:val="List Bullet"/>
    <w:basedOn w:val="1"/>
    <w:qFormat/>
    <w:uiPriority w:val="0"/>
  </w:style>
  <w:style w:type="paragraph" w:styleId="28">
    <w:name w:val="Title"/>
    <w:basedOn w:val="1"/>
    <w:link w:val="102"/>
    <w:qFormat/>
    <w:locked/>
    <w:uiPriority w:val="0"/>
    <w:pPr>
      <w:ind w:right="-1050"/>
      <w:jc w:val="center"/>
    </w:pPr>
    <w:rPr>
      <w:b/>
      <w:szCs w:val="20"/>
    </w:rPr>
  </w:style>
  <w:style w:type="paragraph" w:styleId="29">
    <w:name w:val="footer"/>
    <w:basedOn w:val="1"/>
    <w:link w:val="59"/>
    <w:qFormat/>
    <w:uiPriority w:val="99"/>
    <w:pPr>
      <w:tabs>
        <w:tab w:val="center" w:pos="4677"/>
        <w:tab w:val="right" w:pos="9355"/>
      </w:tabs>
    </w:pPr>
  </w:style>
  <w:style w:type="paragraph" w:styleId="30">
    <w:name w:val="Normal (Web)"/>
    <w:basedOn w:val="1"/>
    <w:qFormat/>
    <w:uiPriority w:val="0"/>
    <w:pPr>
      <w:spacing w:before="100" w:beforeAutospacing="1" w:after="100" w:afterAutospacing="1"/>
    </w:pPr>
  </w:style>
  <w:style w:type="paragraph" w:styleId="31">
    <w:name w:val="Body Text 3"/>
    <w:basedOn w:val="1"/>
    <w:link w:val="90"/>
    <w:qFormat/>
    <w:uiPriority w:val="0"/>
    <w:pPr>
      <w:spacing w:after="120"/>
    </w:pPr>
    <w:rPr>
      <w:sz w:val="16"/>
      <w:szCs w:val="16"/>
    </w:rPr>
  </w:style>
  <w:style w:type="paragraph" w:styleId="32">
    <w:name w:val="Body Text Indent 2"/>
    <w:basedOn w:val="1"/>
    <w:link w:val="61"/>
    <w:qFormat/>
    <w:uiPriority w:val="0"/>
    <w:pPr>
      <w:spacing w:after="120" w:line="480" w:lineRule="auto"/>
      <w:ind w:left="283"/>
    </w:pPr>
    <w:rPr>
      <w:szCs w:val="20"/>
      <w:lang w:eastAsia="en-US"/>
    </w:rPr>
  </w:style>
  <w:style w:type="paragraph" w:styleId="33">
    <w:name w:val="Subtitle"/>
    <w:basedOn w:val="1"/>
    <w:next w:val="1"/>
    <w:link w:val="21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4">
    <w:name w:val="Block Text"/>
    <w:basedOn w:val="1"/>
    <w:qFormat/>
    <w:uiPriority w:val="0"/>
    <w:pPr>
      <w:shd w:val="clear" w:color="auto" w:fill="FFFFFF"/>
      <w:spacing w:before="14" w:line="240" w:lineRule="exact"/>
      <w:ind w:left="486" w:right="442"/>
    </w:pPr>
    <w:rPr>
      <w:sz w:val="22"/>
      <w:szCs w:val="22"/>
    </w:rPr>
  </w:style>
  <w:style w:type="character" w:styleId="36">
    <w:name w:val="annotation reference"/>
    <w:qFormat/>
    <w:uiPriority w:val="0"/>
    <w:rPr>
      <w:rFonts w:cs="Times New Roman"/>
      <w:sz w:val="16"/>
      <w:szCs w:val="16"/>
    </w:rPr>
  </w:style>
  <w:style w:type="character" w:styleId="37">
    <w:name w:val="Emphasis"/>
    <w:basedOn w:val="35"/>
    <w:qFormat/>
    <w:uiPriority w:val="0"/>
    <w:rPr>
      <w:i/>
      <w:iCs/>
    </w:rPr>
  </w:style>
  <w:style w:type="character" w:styleId="38">
    <w:name w:val="Hyperlink"/>
    <w:qFormat/>
    <w:uiPriority w:val="99"/>
    <w:rPr>
      <w:color w:val="0000FF"/>
      <w:u w:val="single"/>
    </w:rPr>
  </w:style>
  <w:style w:type="character" w:styleId="39">
    <w:name w:val="page number"/>
    <w:qFormat/>
    <w:uiPriority w:val="0"/>
    <w:rPr>
      <w:rFonts w:cs="Times New Roman"/>
    </w:rPr>
  </w:style>
  <w:style w:type="character" w:styleId="40">
    <w:name w:val="Strong"/>
    <w:qFormat/>
    <w:locked/>
    <w:uiPriority w:val="22"/>
    <w:rPr>
      <w:b/>
      <w:bCs/>
    </w:rPr>
  </w:style>
  <w:style w:type="table" w:styleId="42">
    <w:name w:val="Table Grid"/>
    <w:basedOn w:val="4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43">
    <w:name w:val="Заголовок 1 Знак1"/>
    <w:link w:val="2"/>
    <w:qFormat/>
    <w:locked/>
    <w:uiPriority w:val="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4">
    <w:name w:val="Заголовок 2 Знак"/>
    <w:link w:val="3"/>
    <w:qFormat/>
    <w:locked/>
    <w:uiPriority w:val="0"/>
    <w:rPr>
      <w:b/>
      <w:color w:val="000000"/>
      <w:sz w:val="24"/>
    </w:rPr>
  </w:style>
  <w:style w:type="character" w:customStyle="1" w:styleId="45">
    <w:name w:val="Заголовок 3 Знак"/>
    <w:link w:val="4"/>
    <w:qFormat/>
    <w:uiPriority w:val="0"/>
    <w:rPr>
      <w:rFonts w:cs="Arial"/>
      <w:b/>
      <w:bCs/>
      <w:color w:val="000000"/>
      <w:sz w:val="24"/>
      <w:szCs w:val="26"/>
    </w:rPr>
  </w:style>
  <w:style w:type="character" w:customStyle="1" w:styleId="46">
    <w:name w:val="Заголовок 4 Знак"/>
    <w:link w:val="5"/>
    <w:qFormat/>
    <w:uiPriority w:val="0"/>
    <w:rPr>
      <w:b/>
      <w:bCs/>
      <w:sz w:val="28"/>
      <w:szCs w:val="28"/>
      <w:lang w:val="ru-RU" w:eastAsia="ru-RU" w:bidi="ar-SA"/>
    </w:rPr>
  </w:style>
  <w:style w:type="character" w:customStyle="1" w:styleId="47">
    <w:name w:val="Заголовок 5 Знак"/>
    <w:link w:val="6"/>
    <w:qFormat/>
    <w:uiPriority w:val="0"/>
    <w:rPr>
      <w:b/>
      <w:bCs/>
      <w:i/>
      <w:iCs/>
      <w:sz w:val="26"/>
      <w:szCs w:val="26"/>
      <w:lang w:val="ru-RU" w:eastAsia="ru-RU" w:bidi="ar-SA"/>
    </w:rPr>
  </w:style>
  <w:style w:type="character" w:customStyle="1" w:styleId="48">
    <w:name w:val="Заголовок 6 Знак"/>
    <w:link w:val="7"/>
    <w:qFormat/>
    <w:uiPriority w:val="0"/>
    <w:rPr>
      <w:sz w:val="28"/>
      <w:lang w:val="ru-RU" w:eastAsia="ru-RU" w:bidi="ar-SA"/>
    </w:rPr>
  </w:style>
  <w:style w:type="character" w:customStyle="1" w:styleId="49">
    <w:name w:val="Заголовок 7 Знак"/>
    <w:link w:val="8"/>
    <w:qFormat/>
    <w:uiPriority w:val="0"/>
    <w:rPr>
      <w:b/>
      <w:sz w:val="24"/>
      <w:lang w:val="ru-RU" w:eastAsia="ru-RU" w:bidi="ar-SA"/>
    </w:rPr>
  </w:style>
  <w:style w:type="character" w:customStyle="1" w:styleId="50">
    <w:name w:val="Заголовок 8 Знак"/>
    <w:link w:val="9"/>
    <w:qFormat/>
    <w:uiPriority w:val="0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customStyle="1" w:styleId="51">
    <w:name w:val="Заголовок 9 Знак"/>
    <w:link w:val="10"/>
    <w:qFormat/>
    <w:uiPriority w:val="0"/>
    <w:rPr>
      <w:spacing w:val="-3"/>
      <w:sz w:val="28"/>
      <w:szCs w:val="28"/>
      <w:lang w:val="ru-RU" w:eastAsia="ru-RU" w:bidi="ar-SA"/>
    </w:rPr>
  </w:style>
  <w:style w:type="character" w:customStyle="1" w:styleId="52">
    <w:name w:val="Основной текст Знак1"/>
    <w:link w:val="23"/>
    <w:semiHidden/>
    <w:qFormat/>
    <w:locked/>
    <w:uiPriority w:val="0"/>
    <w:rPr>
      <w:rFonts w:cs="Times New Roman"/>
      <w:sz w:val="24"/>
      <w:szCs w:val="24"/>
    </w:rPr>
  </w:style>
  <w:style w:type="character" w:customStyle="1" w:styleId="53">
    <w:name w:val="Текст выноски Знак"/>
    <w:link w:val="11"/>
    <w:semiHidden/>
    <w:qFormat/>
    <w:locked/>
    <w:uiPriority w:val="0"/>
    <w:rPr>
      <w:rFonts w:cs="Times New Roman"/>
      <w:sz w:val="2"/>
    </w:rPr>
  </w:style>
  <w:style w:type="paragraph" w:customStyle="1" w:styleId="54">
    <w:name w:val="Char"/>
    <w:basedOn w:val="1"/>
    <w:qFormat/>
    <w:uiPriority w:val="0"/>
    <w:pPr>
      <w:keepLines/>
      <w:spacing w:line="240" w:lineRule="exact"/>
    </w:pPr>
    <w:rPr>
      <w:rFonts w:ascii="Verdana" w:hAnsi="Verdana" w:eastAsia="MS Mincho" w:cs="Franklin Gothic Book"/>
      <w:sz w:val="20"/>
      <w:szCs w:val="20"/>
      <w:lang w:val="en-US" w:eastAsia="en-US"/>
    </w:rPr>
  </w:style>
  <w:style w:type="paragraph" w:customStyle="1" w:styleId="55">
    <w:name w:val="Îáû÷íûé"/>
    <w:qFormat/>
    <w:uiPriority w:val="0"/>
    <w:pPr>
      <w:widowControl w:val="0"/>
      <w:spacing w:after="160" w:line="259" w:lineRule="auto"/>
      <w:ind w:firstLine="851"/>
      <w:jc w:val="both"/>
    </w:pPr>
    <w:rPr>
      <w:rFonts w:ascii="Arial" w:hAnsi="Arial" w:eastAsia="Times New Roman" w:cs="Times New Roman"/>
      <w:color w:val="000000"/>
      <w:sz w:val="24"/>
      <w:szCs w:val="24"/>
      <w:lang w:val="ru-RU" w:eastAsia="ru-RU" w:bidi="ar-SA"/>
    </w:rPr>
  </w:style>
  <w:style w:type="character" w:customStyle="1" w:styleId="56">
    <w:name w:val="Текст примечания Знак"/>
    <w:link w:val="16"/>
    <w:qFormat/>
    <w:locked/>
    <w:uiPriority w:val="0"/>
    <w:rPr>
      <w:rFonts w:cs="Times New Roman"/>
    </w:rPr>
  </w:style>
  <w:style w:type="character" w:customStyle="1" w:styleId="57">
    <w:name w:val="Тема примечания Знак"/>
    <w:link w:val="18"/>
    <w:semiHidden/>
    <w:qFormat/>
    <w:locked/>
    <w:uiPriority w:val="0"/>
    <w:rPr>
      <w:rFonts w:cs="Times New Roman"/>
      <w:b/>
      <w:bCs/>
    </w:rPr>
  </w:style>
  <w:style w:type="character" w:customStyle="1" w:styleId="58">
    <w:name w:val="Верхний колонтитул Знак"/>
    <w:link w:val="21"/>
    <w:qFormat/>
    <w:locked/>
    <w:uiPriority w:val="0"/>
    <w:rPr>
      <w:rFonts w:cs="Times New Roman"/>
      <w:sz w:val="24"/>
      <w:szCs w:val="24"/>
    </w:rPr>
  </w:style>
  <w:style w:type="character" w:customStyle="1" w:styleId="59">
    <w:name w:val="Нижний колонтитул Знак"/>
    <w:link w:val="29"/>
    <w:qFormat/>
    <w:locked/>
    <w:uiPriority w:val="99"/>
    <w:rPr>
      <w:rFonts w:cs="Times New Roman"/>
      <w:sz w:val="24"/>
      <w:szCs w:val="24"/>
    </w:rPr>
  </w:style>
  <w:style w:type="character" w:customStyle="1" w:styleId="60">
    <w:name w:val="Текст сноски Знак"/>
    <w:link w:val="20"/>
    <w:semiHidden/>
    <w:qFormat/>
    <w:locked/>
    <w:uiPriority w:val="0"/>
    <w:rPr>
      <w:rFonts w:cs="Times New Roman"/>
    </w:rPr>
  </w:style>
  <w:style w:type="character" w:customStyle="1" w:styleId="61">
    <w:name w:val="Основной текст с отступом 2 Знак"/>
    <w:link w:val="32"/>
    <w:semiHidden/>
    <w:qFormat/>
    <w:locked/>
    <w:uiPriority w:val="0"/>
    <w:rPr>
      <w:rFonts w:cs="Times New Roman"/>
      <w:sz w:val="24"/>
      <w:lang w:val="ru-RU" w:eastAsia="en-US" w:bidi="ar-SA"/>
    </w:rPr>
  </w:style>
  <w:style w:type="character" w:customStyle="1" w:styleId="62">
    <w:name w:val="Основной текст с отступом Знак"/>
    <w:link w:val="26"/>
    <w:semiHidden/>
    <w:qFormat/>
    <w:locked/>
    <w:uiPriority w:val="0"/>
    <w:rPr>
      <w:rFonts w:cs="Times New Roman"/>
      <w:sz w:val="24"/>
      <w:szCs w:val="24"/>
    </w:rPr>
  </w:style>
  <w:style w:type="character" w:customStyle="1" w:styleId="63">
    <w:name w:val="Основной текст 2 Знак"/>
    <w:link w:val="13"/>
    <w:semiHidden/>
    <w:qFormat/>
    <w:locked/>
    <w:uiPriority w:val="0"/>
    <w:rPr>
      <w:rFonts w:cs="Times New Roman"/>
      <w:sz w:val="24"/>
      <w:szCs w:val="24"/>
    </w:rPr>
  </w:style>
  <w:style w:type="character" w:customStyle="1" w:styleId="64">
    <w:name w:val="Основной текст с отступом 3 Знак"/>
    <w:link w:val="15"/>
    <w:semiHidden/>
    <w:qFormat/>
    <w:locked/>
    <w:uiPriority w:val="0"/>
    <w:rPr>
      <w:rFonts w:cs="Times New Roman"/>
      <w:sz w:val="16"/>
      <w:szCs w:val="16"/>
    </w:rPr>
  </w:style>
  <w:style w:type="paragraph" w:customStyle="1" w:styleId="65">
    <w:name w:val="абзац"/>
    <w:basedOn w:val="1"/>
    <w:link w:val="66"/>
    <w:qFormat/>
    <w:uiPriority w:val="0"/>
    <w:pPr>
      <w:spacing w:line="360" w:lineRule="auto"/>
      <w:ind w:firstLine="851"/>
      <w:jc w:val="both"/>
    </w:pPr>
    <w:rPr>
      <w:szCs w:val="20"/>
    </w:rPr>
  </w:style>
  <w:style w:type="character" w:customStyle="1" w:styleId="66">
    <w:name w:val="абзац Знак"/>
    <w:link w:val="65"/>
    <w:qFormat/>
    <w:locked/>
    <w:uiPriority w:val="0"/>
    <w:rPr>
      <w:rFonts w:cs="Times New Roman"/>
      <w:sz w:val="24"/>
      <w:lang w:val="ru-RU" w:eastAsia="ru-RU" w:bidi="ar-SA"/>
    </w:rPr>
  </w:style>
  <w:style w:type="character" w:customStyle="1" w:styleId="67">
    <w:name w:val="абзац Знак1"/>
    <w:qFormat/>
    <w:locked/>
    <w:uiPriority w:val="0"/>
    <w:rPr>
      <w:rFonts w:cs="Times New Roman"/>
      <w:sz w:val="24"/>
      <w:lang w:val="ru-RU" w:eastAsia="ru-RU" w:bidi="ar-SA"/>
    </w:rPr>
  </w:style>
  <w:style w:type="paragraph" w:customStyle="1" w:styleId="68">
    <w:name w:val="абзац Знак Знак Знак Знак"/>
    <w:basedOn w:val="1"/>
    <w:link w:val="69"/>
    <w:qFormat/>
    <w:uiPriority w:val="0"/>
    <w:pPr>
      <w:spacing w:line="360" w:lineRule="auto"/>
      <w:ind w:firstLine="851"/>
      <w:jc w:val="both"/>
    </w:pPr>
    <w:rPr>
      <w:szCs w:val="20"/>
    </w:rPr>
  </w:style>
  <w:style w:type="character" w:customStyle="1" w:styleId="69">
    <w:name w:val="абзац Знак Знак Знак Знак Знак"/>
    <w:link w:val="68"/>
    <w:qFormat/>
    <w:locked/>
    <w:uiPriority w:val="0"/>
    <w:rPr>
      <w:sz w:val="24"/>
      <w:lang w:val="ru-RU" w:eastAsia="ru-RU" w:bidi="ar-SA"/>
    </w:rPr>
  </w:style>
  <w:style w:type="character" w:customStyle="1" w:styleId="70">
    <w:name w:val="Знак Знак6"/>
    <w:semiHidden/>
    <w:qFormat/>
    <w:uiPriority w:val="0"/>
    <w:rPr>
      <w:sz w:val="24"/>
      <w:lang w:val="ru-RU" w:eastAsia="en-US" w:bidi="ar-SA"/>
    </w:rPr>
  </w:style>
  <w:style w:type="paragraph" w:customStyle="1" w:styleId="71">
    <w:name w:val="Приложение"/>
    <w:basedOn w:val="1"/>
    <w:link w:val="72"/>
    <w:qFormat/>
    <w:uiPriority w:val="0"/>
    <w:pPr>
      <w:ind w:left="5670"/>
      <w:outlineLvl w:val="0"/>
    </w:pPr>
    <w:rPr>
      <w:b/>
      <w:bCs/>
      <w:kern w:val="32"/>
      <w:lang w:eastAsia="en-US"/>
    </w:rPr>
  </w:style>
  <w:style w:type="character" w:customStyle="1" w:styleId="72">
    <w:name w:val="Приложение Знак"/>
    <w:link w:val="71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73">
    <w:name w:val="Приложение заголовок"/>
    <w:basedOn w:val="1"/>
    <w:link w:val="74"/>
    <w:qFormat/>
    <w:uiPriority w:val="0"/>
    <w:pPr>
      <w:tabs>
        <w:tab w:val="left" w:pos="0"/>
      </w:tabs>
      <w:jc w:val="center"/>
      <w:outlineLvl w:val="0"/>
    </w:pPr>
    <w:rPr>
      <w:b/>
      <w:bCs/>
      <w:kern w:val="32"/>
      <w:lang w:eastAsia="en-US"/>
    </w:rPr>
  </w:style>
  <w:style w:type="character" w:customStyle="1" w:styleId="74">
    <w:name w:val="Приложение заголовок Знак"/>
    <w:link w:val="73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75">
    <w:name w:val="Приложение 3_N"/>
    <w:basedOn w:val="1"/>
    <w:link w:val="76"/>
    <w:qFormat/>
    <w:uiPriority w:val="0"/>
    <w:pPr>
      <w:ind w:left="5103"/>
      <w:outlineLvl w:val="0"/>
    </w:pPr>
    <w:rPr>
      <w:b/>
      <w:bCs/>
      <w:kern w:val="32"/>
      <w:lang w:eastAsia="en-US"/>
    </w:rPr>
  </w:style>
  <w:style w:type="character" w:customStyle="1" w:styleId="76">
    <w:name w:val="Приложение 3_N Знак"/>
    <w:link w:val="75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77">
    <w:name w:val="Приложение 3_N заг"/>
    <w:basedOn w:val="1"/>
    <w:link w:val="78"/>
    <w:qFormat/>
    <w:uiPriority w:val="0"/>
    <w:pPr>
      <w:keepNext/>
      <w:tabs>
        <w:tab w:val="left" w:pos="10206"/>
      </w:tabs>
      <w:jc w:val="center"/>
    </w:pPr>
    <w:rPr>
      <w:b/>
      <w:bCs/>
      <w:kern w:val="32"/>
      <w:lang w:eastAsia="en-US"/>
    </w:rPr>
  </w:style>
  <w:style w:type="character" w:customStyle="1" w:styleId="78">
    <w:name w:val="Приложение 3_N заг Знак"/>
    <w:link w:val="77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79">
    <w:name w:val="Таблица_Строка"/>
    <w:basedOn w:val="1"/>
    <w:qFormat/>
    <w:uiPriority w:val="0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80">
    <w:name w:val="ConsPlusNormal"/>
    <w:qFormat/>
    <w:uiPriority w:val="0"/>
    <w:pPr>
      <w:widowControl w:val="0"/>
      <w:autoSpaceDE w:val="0"/>
      <w:autoSpaceDN w:val="0"/>
      <w:adjustRightInd w:val="0"/>
      <w:spacing w:after="160" w:line="259" w:lineRule="auto"/>
      <w:ind w:firstLine="720"/>
    </w:pPr>
    <w:rPr>
      <w:rFonts w:ascii="Arial" w:hAnsi="Arial" w:eastAsia="Times New Roman" w:cs="Arial"/>
      <w:color w:val="000000"/>
      <w:sz w:val="24"/>
      <w:szCs w:val="24"/>
      <w:lang w:val="ru-RU" w:eastAsia="ru-RU" w:bidi="ar-SA"/>
    </w:rPr>
  </w:style>
  <w:style w:type="paragraph" w:customStyle="1" w:styleId="81">
    <w:name w:val="Рецензия1"/>
    <w:hidden/>
    <w:semiHidden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color w:val="000000"/>
      <w:sz w:val="24"/>
      <w:szCs w:val="24"/>
      <w:lang w:val="ru-RU" w:eastAsia="en-US" w:bidi="ar-SA"/>
    </w:rPr>
  </w:style>
  <w:style w:type="character" w:customStyle="1" w:styleId="82">
    <w:name w:val="Знак Знак5"/>
    <w:qFormat/>
    <w:uiPriority w:val="0"/>
    <w:rPr>
      <w:sz w:val="24"/>
      <w:lang w:val="ru-RU" w:eastAsia="ru-RU" w:bidi="ar-SA"/>
    </w:rPr>
  </w:style>
  <w:style w:type="character" w:customStyle="1" w:styleId="83">
    <w:name w:val="(части) Знак Знак"/>
    <w:qFormat/>
    <w:locked/>
    <w:uiPriority w:val="0"/>
    <w:rPr>
      <w:b/>
      <w:bCs/>
      <w:kern w:val="32"/>
      <w:sz w:val="30"/>
      <w:szCs w:val="32"/>
      <w:lang w:val="ru-RU" w:eastAsia="en-US" w:bidi="ar-SA"/>
    </w:rPr>
  </w:style>
  <w:style w:type="character" w:customStyle="1" w:styleId="84">
    <w:name w:val="Заголовок 1 Знак"/>
    <w:qFormat/>
    <w:uiPriority w:val="0"/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customStyle="1" w:styleId="85">
    <w:name w:val="THKaddress"/>
    <w:basedOn w:val="86"/>
    <w:qFormat/>
    <w:uiPriority w:val="0"/>
    <w:pPr>
      <w:spacing w:before="0"/>
    </w:pPr>
    <w:rPr>
      <w:b w:val="0"/>
    </w:rPr>
  </w:style>
  <w:style w:type="paragraph" w:customStyle="1" w:styleId="86">
    <w:name w:val="THKfullname"/>
    <w:basedOn w:val="1"/>
    <w:next w:val="85"/>
    <w:qFormat/>
    <w:uiPriority w:val="0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styleId="87">
    <w:name w:val="List Paragraph"/>
    <w:basedOn w:val="1"/>
    <w:qFormat/>
    <w:uiPriority w:val="34"/>
    <w:pPr>
      <w:ind w:left="720"/>
      <w:contextualSpacing/>
    </w:pPr>
    <w:rPr>
      <w:szCs w:val="20"/>
      <w:lang w:eastAsia="en-US"/>
    </w:rPr>
  </w:style>
  <w:style w:type="character" w:customStyle="1" w:styleId="88">
    <w:name w:val="bt Знак Знак"/>
    <w:qFormat/>
    <w:locked/>
    <w:uiPriority w:val="0"/>
    <w:rPr>
      <w:rFonts w:ascii="Courier New" w:hAnsi="Courier New"/>
      <w:sz w:val="26"/>
      <w:lang w:bidi="ar-SA"/>
    </w:rPr>
  </w:style>
  <w:style w:type="character" w:customStyle="1" w:styleId="89">
    <w:name w:val="Основной текст Знак"/>
    <w:qFormat/>
    <w:uiPriority w:val="0"/>
    <w:rPr>
      <w:rFonts w:ascii="Courier New" w:hAnsi="Courier New" w:eastAsia="Times New Roman" w:cs="Times New Roman"/>
      <w:sz w:val="24"/>
      <w:szCs w:val="20"/>
    </w:rPr>
  </w:style>
  <w:style w:type="character" w:customStyle="1" w:styleId="90">
    <w:name w:val="Основной текст 3 Знак"/>
    <w:link w:val="31"/>
    <w:qFormat/>
    <w:uiPriority w:val="0"/>
    <w:rPr>
      <w:sz w:val="16"/>
      <w:szCs w:val="16"/>
      <w:lang w:val="ru-RU" w:eastAsia="ru-RU" w:bidi="ar-SA"/>
    </w:rPr>
  </w:style>
  <w:style w:type="character" w:customStyle="1" w:styleId="91">
    <w:name w:val="Схема документа Знак"/>
    <w:link w:val="19"/>
    <w:semiHidden/>
    <w:qFormat/>
    <w:uiPriority w:val="0"/>
    <w:rPr>
      <w:rFonts w:ascii="Tahoma" w:hAnsi="Tahoma" w:cs="Tahoma"/>
      <w:sz w:val="16"/>
      <w:szCs w:val="16"/>
      <w:lang w:val="ru-RU" w:eastAsia="en-US" w:bidi="ar-SA"/>
    </w:rPr>
  </w:style>
  <w:style w:type="paragraph" w:customStyle="1" w:styleId="92">
    <w:name w:val="Стиль Заголовок 1 + Times New Roman 14 pt + 16 pt"/>
    <w:basedOn w:val="1"/>
    <w:qFormat/>
    <w:uiPriority w:val="0"/>
    <w:pPr>
      <w:keepNext/>
      <w:numPr>
        <w:ilvl w:val="0"/>
        <w:numId w:val="3"/>
      </w:numPr>
      <w:tabs>
        <w:tab w:val="left" w:pos="726"/>
        <w:tab w:val="left" w:pos="1224"/>
        <w:tab w:val="clear" w:pos="2292"/>
      </w:tabs>
      <w:spacing w:before="360" w:after="240"/>
      <w:ind w:left="743" w:hanging="17"/>
      <w:jc w:val="both"/>
      <w:outlineLvl w:val="0"/>
    </w:pPr>
    <w:rPr>
      <w:rFonts w:cs="Arial"/>
      <w:b/>
      <w:bCs/>
      <w:kern w:val="32"/>
      <w:sz w:val="32"/>
      <w:szCs w:val="32"/>
    </w:rPr>
  </w:style>
  <w:style w:type="character" w:customStyle="1" w:styleId="93">
    <w:name w:val="Знак Знак3"/>
    <w:qFormat/>
    <w:uiPriority w:val="0"/>
    <w:rPr>
      <w:sz w:val="24"/>
      <w:szCs w:val="24"/>
      <w:lang w:val="ru-RU" w:eastAsia="ru-RU" w:bidi="ar-SA"/>
    </w:rPr>
  </w:style>
  <w:style w:type="character" w:customStyle="1" w:styleId="94">
    <w:name w:val="Знак Знак2"/>
    <w:qFormat/>
    <w:uiPriority w:val="0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95">
    <w:name w:val="ВерхКолонтитул Знак"/>
    <w:qFormat/>
    <w:uiPriority w:val="0"/>
    <w:rPr>
      <w:rFonts w:ascii="Times New Roman CYR" w:hAnsi="Times New Roman CYR"/>
      <w:lang w:val="ru-RU" w:eastAsia="ru-RU" w:bidi="ar-SA"/>
    </w:rPr>
  </w:style>
  <w:style w:type="paragraph" w:customStyle="1" w:styleId="96">
    <w:name w:val="штамп_11"/>
    <w:basedOn w:val="1"/>
    <w:qFormat/>
    <w:uiPriority w:val="0"/>
    <w:pPr>
      <w:jc w:val="center"/>
    </w:pPr>
    <w:rPr>
      <w:b/>
      <w:bCs/>
      <w:sz w:val="22"/>
    </w:rPr>
  </w:style>
  <w:style w:type="paragraph" w:customStyle="1" w:styleId="97">
    <w:name w:val="font5"/>
    <w:basedOn w:val="1"/>
    <w:qFormat/>
    <w:uiPriority w:val="0"/>
    <w:pPr>
      <w:spacing w:before="100" w:after="100"/>
    </w:pPr>
    <w:rPr>
      <w:rFonts w:ascii="Arial" w:hAnsi="Arial" w:eastAsia="Arial Unicode MS" w:cs="Arial"/>
      <w:szCs w:val="20"/>
    </w:rPr>
  </w:style>
  <w:style w:type="paragraph" w:customStyle="1" w:styleId="98">
    <w:name w:val="ConsTitle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eastAsia="Times New Roman" w:cs="Arial"/>
      <w:b/>
      <w:bCs/>
      <w:color w:val="000000"/>
      <w:sz w:val="16"/>
      <w:szCs w:val="16"/>
      <w:lang w:val="ru-RU" w:eastAsia="ru-RU" w:bidi="ar-SA"/>
    </w:rPr>
  </w:style>
  <w:style w:type="paragraph" w:customStyle="1" w:styleId="99">
    <w:name w:val="ConsPlusNonforma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Courier New" w:hAnsi="Courier New" w:eastAsia="Times New Roman" w:cs="Courier New"/>
      <w:color w:val="000000"/>
      <w:sz w:val="24"/>
      <w:szCs w:val="24"/>
      <w:lang w:val="ru-RU" w:eastAsia="ru-RU" w:bidi="ar-SA"/>
    </w:rPr>
  </w:style>
  <w:style w:type="paragraph" w:customStyle="1" w:styleId="100">
    <w:name w:val="xl30"/>
    <w:basedOn w:val="1"/>
    <w:qFormat/>
    <w:uiPriority w:val="0"/>
    <w:pP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101">
    <w:name w:val="Табличноый заголовок"/>
    <w:basedOn w:val="1"/>
    <w:qFormat/>
    <w:uiPriority w:val="0"/>
    <w:pPr>
      <w:suppressAutoHyphens/>
      <w:jc w:val="center"/>
    </w:pPr>
    <w:rPr>
      <w:b/>
      <w:bCs/>
      <w:szCs w:val="20"/>
      <w:lang w:eastAsia="ar-SA"/>
    </w:rPr>
  </w:style>
  <w:style w:type="character" w:customStyle="1" w:styleId="102">
    <w:name w:val="Название Знак"/>
    <w:link w:val="28"/>
    <w:qFormat/>
    <w:uiPriority w:val="0"/>
    <w:rPr>
      <w:b/>
      <w:sz w:val="24"/>
      <w:lang w:val="ru-RU" w:eastAsia="ru-RU" w:bidi="ar-SA"/>
    </w:rPr>
  </w:style>
  <w:style w:type="paragraph" w:customStyle="1" w:styleId="103">
    <w:name w:val="УГТП-Текст"/>
    <w:basedOn w:val="1"/>
    <w:qFormat/>
    <w:uiPriority w:val="0"/>
    <w:pPr>
      <w:ind w:left="284" w:right="284" w:firstLine="851"/>
      <w:jc w:val="both"/>
    </w:pPr>
    <w:rPr>
      <w:rFonts w:ascii="Arial" w:hAnsi="Arial" w:cs="Arial"/>
    </w:rPr>
  </w:style>
  <w:style w:type="paragraph" w:customStyle="1" w:styleId="104">
    <w:name w:val="ConsNonformat"/>
    <w:qFormat/>
    <w:uiPriority w:val="0"/>
    <w:pPr>
      <w:widowControl w:val="0"/>
      <w:autoSpaceDE w:val="0"/>
      <w:autoSpaceDN w:val="0"/>
      <w:adjustRightInd w:val="0"/>
      <w:spacing w:after="160" w:line="259" w:lineRule="auto"/>
      <w:ind w:right="19772"/>
    </w:pPr>
    <w:rPr>
      <w:rFonts w:ascii="Courier New" w:hAnsi="Courier New" w:eastAsia="Times New Roman" w:cs="Courier New"/>
      <w:color w:val="000000"/>
      <w:sz w:val="16"/>
      <w:szCs w:val="16"/>
      <w:lang w:val="ru-RU" w:eastAsia="ru-RU" w:bidi="ar-SA"/>
    </w:rPr>
  </w:style>
  <w:style w:type="paragraph" w:customStyle="1" w:styleId="105">
    <w:name w:val="WW-Заголовок таблицы ссылок1"/>
    <w:basedOn w:val="1"/>
    <w:next w:val="1"/>
    <w:qFormat/>
    <w:uiPriority w:val="0"/>
    <w:pPr>
      <w:suppressAutoHyphens/>
      <w:jc w:val="center"/>
    </w:pPr>
    <w:rPr>
      <w:sz w:val="20"/>
      <w:szCs w:val="20"/>
      <w:lang w:eastAsia="ar-SA"/>
    </w:rPr>
  </w:style>
  <w:style w:type="paragraph" w:customStyle="1" w:styleId="106">
    <w:name w:val="WW-Основной текст с отступом 2"/>
    <w:basedOn w:val="1"/>
    <w:qFormat/>
    <w:uiPriority w:val="0"/>
    <w:pPr>
      <w:ind w:firstLine="454"/>
    </w:pPr>
    <w:rPr>
      <w:sz w:val="28"/>
      <w:szCs w:val="20"/>
      <w:lang w:eastAsia="ar-SA"/>
    </w:rPr>
  </w:style>
  <w:style w:type="paragraph" w:customStyle="1" w:styleId="107">
    <w:name w:val="WW-Заголовок таблицы ссылок"/>
    <w:basedOn w:val="1"/>
    <w:next w:val="1"/>
    <w:qFormat/>
    <w:uiPriority w:val="0"/>
    <w:pPr>
      <w:suppressAutoHyphens/>
      <w:jc w:val="center"/>
    </w:pPr>
    <w:rPr>
      <w:szCs w:val="20"/>
      <w:lang w:eastAsia="ar-SA"/>
    </w:rPr>
  </w:style>
  <w:style w:type="paragraph" w:customStyle="1" w:styleId="108">
    <w:name w:val="Табличные данные"/>
    <w:basedOn w:val="1"/>
    <w:qFormat/>
    <w:uiPriority w:val="0"/>
    <w:pPr>
      <w:suppressAutoHyphens/>
      <w:jc w:val="center"/>
    </w:pPr>
    <w:rPr>
      <w:szCs w:val="20"/>
      <w:lang w:eastAsia="ar-SA"/>
    </w:rPr>
  </w:style>
  <w:style w:type="paragraph" w:customStyle="1" w:styleId="109">
    <w:name w:val="xl31"/>
    <w:basedOn w:val="1"/>
    <w:qFormat/>
    <w:uiPriority w:val="0"/>
    <w:pPr>
      <w:pBdr>
        <w:left w:val="single" w:color="000000" w:sz="0" w:space="0"/>
        <w:bottom w:val="single" w:color="000000" w:sz="0" w:space="0"/>
        <w:right w:val="single" w:color="000000" w:sz="0" w:space="0"/>
      </w:pBdr>
      <w:suppressAutoHyphens/>
      <w:spacing w:before="280" w:after="280"/>
      <w:jc w:val="center"/>
      <w:textAlignment w:val="center"/>
    </w:pPr>
    <w:rPr>
      <w:lang w:eastAsia="ar-SA"/>
    </w:rPr>
  </w:style>
  <w:style w:type="paragraph" w:customStyle="1" w:styleId="110">
    <w:name w:val="Table Head OSRP SEIC"/>
    <w:basedOn w:val="1"/>
    <w:qFormat/>
    <w:uiPriority w:val="0"/>
    <w:pPr>
      <w:keepNext/>
      <w:spacing w:before="60" w:after="6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111">
    <w:name w:val="Table Text OSRP SEIC"/>
    <w:basedOn w:val="1"/>
    <w:qFormat/>
    <w:uiPriority w:val="0"/>
    <w:pPr>
      <w:spacing w:before="40" w:after="40"/>
      <w:jc w:val="center"/>
    </w:pPr>
    <w:rPr>
      <w:rFonts w:ascii="Arial" w:hAnsi="Arial" w:cs="Arial"/>
      <w:sz w:val="20"/>
      <w:szCs w:val="20"/>
    </w:rPr>
  </w:style>
  <w:style w:type="paragraph" w:customStyle="1" w:styleId="112">
    <w:name w:val="Обычный1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customStyle="1" w:styleId="113">
    <w:name w:val="Стиль7"/>
    <w:basedOn w:val="1"/>
    <w:qFormat/>
    <w:uiPriority w:val="0"/>
    <w:pPr>
      <w:numPr>
        <w:ilvl w:val="1"/>
        <w:numId w:val="4"/>
      </w:numPr>
      <w:spacing w:before="240" w:after="240"/>
    </w:pPr>
    <w:rPr>
      <w:b/>
      <w:sz w:val="28"/>
    </w:rPr>
  </w:style>
  <w:style w:type="paragraph" w:customStyle="1" w:styleId="114">
    <w:name w:val="Стиль Основной текст с отступом 3 + 12 пт Слева:  002 см Первая ..."/>
    <w:basedOn w:val="15"/>
    <w:qFormat/>
    <w:uiPriority w:val="0"/>
    <w:pPr>
      <w:tabs>
        <w:tab w:val="left" w:pos="1440"/>
        <w:tab w:val="clear" w:pos="252"/>
        <w:tab w:val="clear" w:pos="342"/>
      </w:tabs>
      <w:spacing w:line="360" w:lineRule="auto"/>
      <w:ind w:left="11" w:firstLine="704"/>
    </w:pPr>
    <w:rPr>
      <w:sz w:val="24"/>
      <w:szCs w:val="20"/>
    </w:rPr>
  </w:style>
  <w:style w:type="paragraph" w:customStyle="1" w:styleId="115">
    <w:name w:val="Примечание"/>
    <w:basedOn w:val="1"/>
    <w:next w:val="13"/>
    <w:qFormat/>
    <w:uiPriority w:val="0"/>
    <w:pPr>
      <w:shd w:val="clear" w:color="auto" w:fill="FFFFFF"/>
      <w:spacing w:before="29" w:line="348" w:lineRule="auto"/>
      <w:ind w:left="-6" w:firstLine="564"/>
      <w:jc w:val="both"/>
    </w:pPr>
    <w:rPr>
      <w:spacing w:val="60"/>
      <w:sz w:val="20"/>
      <w:szCs w:val="20"/>
    </w:rPr>
  </w:style>
  <w:style w:type="paragraph" w:customStyle="1" w:styleId="116">
    <w:name w:val="font6"/>
    <w:basedOn w:val="1"/>
    <w:qFormat/>
    <w:uiPriority w:val="0"/>
    <w:pPr>
      <w:spacing w:before="100" w:beforeAutospacing="1" w:after="100" w:afterAutospacing="1"/>
    </w:pPr>
    <w:rPr>
      <w:rFonts w:eastAsia="Arial Unicode MS"/>
      <w:sz w:val="18"/>
      <w:szCs w:val="18"/>
    </w:rPr>
  </w:style>
  <w:style w:type="paragraph" w:customStyle="1" w:styleId="117">
    <w:name w:val="font7"/>
    <w:basedOn w:val="1"/>
    <w:qFormat/>
    <w:uiPriority w:val="0"/>
    <w:pPr>
      <w:spacing w:before="100" w:beforeAutospacing="1" w:after="100" w:afterAutospacing="1"/>
    </w:pPr>
    <w:rPr>
      <w:rFonts w:eastAsia="Arial Unicode MS"/>
      <w:b/>
      <w:bCs/>
      <w:sz w:val="18"/>
      <w:szCs w:val="18"/>
    </w:rPr>
  </w:style>
  <w:style w:type="paragraph" w:customStyle="1" w:styleId="118">
    <w:name w:val="font8"/>
    <w:basedOn w:val="1"/>
    <w:qFormat/>
    <w:uiPriority w:val="0"/>
    <w:pPr>
      <w:spacing w:before="100" w:beforeAutospacing="1" w:after="100" w:afterAutospacing="1"/>
    </w:pPr>
    <w:rPr>
      <w:rFonts w:eastAsia="Arial Unicode MS"/>
      <w:sz w:val="18"/>
      <w:szCs w:val="18"/>
    </w:rPr>
  </w:style>
  <w:style w:type="paragraph" w:customStyle="1" w:styleId="119">
    <w:name w:val="xl2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eastAsia="Arial Unicode MS"/>
    </w:rPr>
  </w:style>
  <w:style w:type="paragraph" w:customStyle="1" w:styleId="120">
    <w:name w:val="xl25"/>
    <w:basedOn w:val="1"/>
    <w:qFormat/>
    <w:uiPriority w:val="0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121">
    <w:name w:val="xl26"/>
    <w:basedOn w:val="1"/>
    <w:qFormat/>
    <w:uiPriority w:val="0"/>
    <w:pPr>
      <w:spacing w:before="100" w:beforeAutospacing="1" w:after="100" w:afterAutospacing="1"/>
    </w:pPr>
    <w:rPr>
      <w:rFonts w:eastAsia="Arial Unicode MS"/>
    </w:rPr>
  </w:style>
  <w:style w:type="paragraph" w:customStyle="1" w:styleId="122">
    <w:name w:val="xl27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</w:rPr>
  </w:style>
  <w:style w:type="paragraph" w:customStyle="1" w:styleId="123">
    <w:name w:val="xl2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</w:rPr>
  </w:style>
  <w:style w:type="paragraph" w:customStyle="1" w:styleId="124">
    <w:name w:val="xl2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eastAsia="Arial Unicode MS" w:cs="Arial"/>
    </w:rPr>
  </w:style>
  <w:style w:type="paragraph" w:customStyle="1" w:styleId="125">
    <w:name w:val="xl32"/>
    <w:basedOn w:val="1"/>
    <w:qFormat/>
    <w:uiPriority w:val="0"/>
    <w:pPr>
      <w:spacing w:before="100" w:beforeAutospacing="1" w:after="100" w:afterAutospacing="1"/>
    </w:pPr>
    <w:rPr>
      <w:rFonts w:ascii="Arial" w:hAnsi="Arial" w:eastAsia="Arial Unicode MS" w:cs="Arial"/>
    </w:rPr>
  </w:style>
  <w:style w:type="paragraph" w:customStyle="1" w:styleId="126">
    <w:name w:val="xl33"/>
    <w:basedOn w:val="1"/>
    <w:qFormat/>
    <w:uiPriority w:val="0"/>
    <w:pPr>
      <w:pBdr>
        <w:bottom w:val="single" w:color="auto" w:sz="4" w:space="0"/>
      </w:pBdr>
      <w:spacing w:before="100" w:beforeAutospacing="1" w:after="100" w:afterAutospacing="1"/>
    </w:pPr>
    <w:rPr>
      <w:rFonts w:eastAsia="Arial Unicode MS"/>
    </w:rPr>
  </w:style>
  <w:style w:type="paragraph" w:customStyle="1" w:styleId="127">
    <w:name w:val="xl3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128">
    <w:name w:val="xl3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129">
    <w:name w:val="xl3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130">
    <w:name w:val="xl3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131">
    <w:name w:val="xl38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132">
    <w:name w:val="xl39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133">
    <w:name w:val="xl40"/>
    <w:basedOn w:val="1"/>
    <w:qFormat/>
    <w:uiPriority w:val="0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134">
    <w:name w:val="xl41"/>
    <w:basedOn w:val="1"/>
    <w:qFormat/>
    <w:uiPriority w:val="0"/>
    <w:pP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135">
    <w:name w:val="xl4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136">
    <w:name w:val="xl4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137">
    <w:name w:val="xl4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138">
    <w:name w:val="xl45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139">
    <w:name w:val="xl46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140">
    <w:name w:val="Heading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eastAsia="Times New Roman" w:cs="Arial"/>
      <w:b/>
      <w:bCs/>
      <w:color w:val="000000"/>
      <w:sz w:val="22"/>
      <w:szCs w:val="22"/>
      <w:lang w:val="ru-RU" w:eastAsia="ru-RU" w:bidi="ar-SA"/>
    </w:rPr>
  </w:style>
  <w:style w:type="character" w:customStyle="1" w:styleId="141">
    <w:name w:val="apple-style-span"/>
    <w:basedOn w:val="35"/>
    <w:qFormat/>
    <w:uiPriority w:val="0"/>
  </w:style>
  <w:style w:type="character" w:customStyle="1" w:styleId="142">
    <w:name w:val="text1"/>
    <w:qFormat/>
    <w:uiPriority w:val="0"/>
    <w:rPr>
      <w:rFonts w:hint="default" w:ascii="Tahoma" w:hAnsi="Tahoma" w:cs="Tahoma"/>
      <w:color w:val="000000"/>
      <w:sz w:val="20"/>
      <w:szCs w:val="20"/>
    </w:rPr>
  </w:style>
  <w:style w:type="paragraph" w:customStyle="1" w:styleId="143">
    <w:name w:val="Стиль1"/>
    <w:basedOn w:val="23"/>
    <w:link w:val="144"/>
    <w:qFormat/>
    <w:uiPriority w:val="0"/>
    <w:pPr>
      <w:numPr>
        <w:ilvl w:val="0"/>
        <w:numId w:val="4"/>
      </w:numPr>
      <w:jc w:val="center"/>
      <w:outlineLvl w:val="0"/>
    </w:pPr>
    <w:rPr>
      <w:rFonts w:ascii="Courier New" w:hAnsi="Courier New"/>
      <w:b/>
      <w:sz w:val="26"/>
      <w:szCs w:val="24"/>
    </w:rPr>
  </w:style>
  <w:style w:type="character" w:customStyle="1" w:styleId="144">
    <w:name w:val="Стиль1 Знак"/>
    <w:link w:val="143"/>
    <w:qFormat/>
    <w:uiPriority w:val="0"/>
    <w:rPr>
      <w:rFonts w:ascii="Courier New" w:hAnsi="Courier New"/>
      <w:b/>
      <w:color w:val="000000"/>
      <w:sz w:val="26"/>
      <w:szCs w:val="24"/>
    </w:rPr>
  </w:style>
  <w:style w:type="paragraph" w:customStyle="1" w:styleId="145">
    <w:name w:val="Стиль2"/>
    <w:basedOn w:val="143"/>
    <w:link w:val="146"/>
    <w:qFormat/>
    <w:uiPriority w:val="0"/>
    <w:pPr>
      <w:numPr>
        <w:numId w:val="0"/>
      </w:numPr>
      <w:tabs>
        <w:tab w:val="left" w:pos="360"/>
      </w:tabs>
      <w:ind w:firstLine="720"/>
      <w:jc w:val="both"/>
      <w:outlineLvl w:val="1"/>
    </w:pPr>
    <w:rPr>
      <w:b w:val="0"/>
      <w:sz w:val="24"/>
    </w:rPr>
  </w:style>
  <w:style w:type="character" w:customStyle="1" w:styleId="146">
    <w:name w:val="Стиль2 Знак"/>
    <w:link w:val="145"/>
    <w:qFormat/>
    <w:uiPriority w:val="0"/>
    <w:rPr>
      <w:rFonts w:ascii="Courier New" w:hAnsi="Courier New"/>
      <w:color w:val="000000"/>
      <w:sz w:val="24"/>
      <w:szCs w:val="24"/>
    </w:rPr>
  </w:style>
  <w:style w:type="paragraph" w:customStyle="1" w:styleId="147">
    <w:name w:val="Стиль3"/>
    <w:basedOn w:val="1"/>
    <w:qFormat/>
    <w:uiPriority w:val="0"/>
    <w:pPr>
      <w:numPr>
        <w:ilvl w:val="2"/>
        <w:numId w:val="4"/>
      </w:numPr>
      <w:ind w:left="0" w:firstLine="720"/>
      <w:jc w:val="both"/>
      <w:outlineLvl w:val="2"/>
    </w:pPr>
    <w:rPr>
      <w:szCs w:val="20"/>
      <w:lang w:eastAsia="en-US"/>
    </w:rPr>
  </w:style>
  <w:style w:type="paragraph" w:customStyle="1" w:styleId="148">
    <w:name w:val="Стиль4"/>
    <w:basedOn w:val="1"/>
    <w:link w:val="149"/>
    <w:qFormat/>
    <w:uiPriority w:val="0"/>
    <w:pPr>
      <w:ind w:left="5670"/>
      <w:outlineLvl w:val="0"/>
    </w:pPr>
    <w:rPr>
      <w:b/>
      <w:bCs/>
      <w:kern w:val="32"/>
      <w:lang w:eastAsia="en-US"/>
    </w:rPr>
  </w:style>
  <w:style w:type="character" w:customStyle="1" w:styleId="149">
    <w:name w:val="Стиль4 Знак"/>
    <w:link w:val="148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150">
    <w:name w:val="Стиль5"/>
    <w:basedOn w:val="2"/>
    <w:link w:val="151"/>
    <w:qFormat/>
    <w:uiPriority w:val="0"/>
    <w:pPr>
      <w:keepNext w:val="0"/>
      <w:tabs>
        <w:tab w:val="left" w:pos="0"/>
        <w:tab w:val="clear" w:pos="432"/>
      </w:tabs>
      <w:spacing w:beforeLines="0"/>
      <w:jc w:val="center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151">
    <w:name w:val="Стиль5 Знак"/>
    <w:link w:val="150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152">
    <w:name w:val="Стиль6"/>
    <w:basedOn w:val="148"/>
    <w:link w:val="153"/>
    <w:qFormat/>
    <w:uiPriority w:val="0"/>
    <w:pPr>
      <w:ind w:left="10206"/>
    </w:pPr>
  </w:style>
  <w:style w:type="character" w:customStyle="1" w:styleId="153">
    <w:name w:val="Стиль6 Знак"/>
    <w:basedOn w:val="149"/>
    <w:link w:val="152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54">
    <w:name w:val="Приложение альбом"/>
    <w:basedOn w:val="148"/>
    <w:link w:val="155"/>
    <w:qFormat/>
    <w:uiPriority w:val="0"/>
    <w:pPr>
      <w:ind w:left="10206"/>
    </w:pPr>
  </w:style>
  <w:style w:type="character" w:customStyle="1" w:styleId="155">
    <w:name w:val="Приложение альбом Знак"/>
    <w:basedOn w:val="149"/>
    <w:link w:val="154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56">
    <w:name w:val="Приложение коммент"/>
    <w:basedOn w:val="2"/>
    <w:link w:val="157"/>
    <w:qFormat/>
    <w:uiPriority w:val="0"/>
    <w:pPr>
      <w:tabs>
        <w:tab w:val="left" w:pos="0"/>
        <w:tab w:val="left" w:pos="5954"/>
        <w:tab w:val="clear" w:pos="432"/>
      </w:tabs>
      <w:spacing w:beforeLines="0"/>
      <w:ind w:left="5670"/>
      <w:outlineLvl w:val="9"/>
    </w:pPr>
    <w:rPr>
      <w:bCs/>
      <w:i w:val="0"/>
      <w:color w:val="auto"/>
      <w:kern w:val="32"/>
      <w:sz w:val="24"/>
      <w:szCs w:val="24"/>
      <w:lang w:eastAsia="en-US"/>
    </w:rPr>
  </w:style>
  <w:style w:type="character" w:customStyle="1" w:styleId="157">
    <w:name w:val="Приложение коммент Знак"/>
    <w:link w:val="156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158">
    <w:name w:val="Приложение коммент альбом"/>
    <w:basedOn w:val="156"/>
    <w:link w:val="159"/>
    <w:qFormat/>
    <w:uiPriority w:val="0"/>
    <w:pPr>
      <w:ind w:left="10206"/>
    </w:pPr>
  </w:style>
  <w:style w:type="character" w:customStyle="1" w:styleId="159">
    <w:name w:val="Приложение коммент альбом Знак"/>
    <w:basedOn w:val="157"/>
    <w:link w:val="158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60">
    <w:name w:val="Приложение 1_N"/>
    <w:basedOn w:val="1"/>
    <w:link w:val="161"/>
    <w:qFormat/>
    <w:uiPriority w:val="0"/>
    <w:pPr>
      <w:jc w:val="right"/>
    </w:pPr>
    <w:rPr>
      <w:b/>
      <w:lang w:eastAsia="en-US"/>
    </w:rPr>
  </w:style>
  <w:style w:type="character" w:customStyle="1" w:styleId="161">
    <w:name w:val="Приложение 1_N Знак"/>
    <w:link w:val="160"/>
    <w:qFormat/>
    <w:uiPriority w:val="0"/>
    <w:rPr>
      <w:b/>
      <w:sz w:val="24"/>
      <w:szCs w:val="24"/>
      <w:lang w:val="ru-RU" w:eastAsia="en-US" w:bidi="ar-SA"/>
    </w:rPr>
  </w:style>
  <w:style w:type="paragraph" w:customStyle="1" w:styleId="162">
    <w:name w:val="Приложение 1_N заг"/>
    <w:basedOn w:val="2"/>
    <w:link w:val="163"/>
    <w:qFormat/>
    <w:uiPriority w:val="0"/>
    <w:pPr>
      <w:tabs>
        <w:tab w:val="left" w:pos="0"/>
        <w:tab w:val="clear" w:pos="432"/>
      </w:tabs>
      <w:spacing w:beforeLines="0"/>
      <w:jc w:val="center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163">
    <w:name w:val="Приложение 1_N заг Знак"/>
    <w:link w:val="162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164">
    <w:name w:val="Приложение 2_N альбом"/>
    <w:basedOn w:val="152"/>
    <w:link w:val="165"/>
    <w:qFormat/>
    <w:uiPriority w:val="0"/>
    <w:pPr>
      <w:ind w:left="11624"/>
    </w:pPr>
  </w:style>
  <w:style w:type="character" w:customStyle="1" w:styleId="165">
    <w:name w:val="Приложение 2_N альбом Знак"/>
    <w:basedOn w:val="153"/>
    <w:link w:val="164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66">
    <w:name w:val="Приложение 2_N заг"/>
    <w:basedOn w:val="2"/>
    <w:link w:val="167"/>
    <w:qFormat/>
    <w:uiPriority w:val="0"/>
    <w:pPr>
      <w:tabs>
        <w:tab w:val="left" w:pos="10206"/>
        <w:tab w:val="clear" w:pos="432"/>
      </w:tabs>
      <w:spacing w:beforeLines="0"/>
      <w:jc w:val="center"/>
      <w:outlineLvl w:val="9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167">
    <w:name w:val="Приложение 2_N заг Знак"/>
    <w:link w:val="166"/>
    <w:qFormat/>
    <w:uiPriority w:val="0"/>
    <w:rPr>
      <w:b/>
      <w:bCs/>
      <w:kern w:val="32"/>
      <w:sz w:val="24"/>
      <w:szCs w:val="24"/>
      <w:lang w:val="ru-RU" w:eastAsia="en-US" w:bidi="ar-SA"/>
    </w:rPr>
  </w:style>
  <w:style w:type="paragraph" w:customStyle="1" w:styleId="168">
    <w:name w:val="Приложение 2_N"/>
    <w:basedOn w:val="148"/>
    <w:link w:val="169"/>
    <w:qFormat/>
    <w:uiPriority w:val="0"/>
    <w:pPr>
      <w:ind w:left="5103"/>
    </w:pPr>
  </w:style>
  <w:style w:type="character" w:customStyle="1" w:styleId="169">
    <w:name w:val="Приложение 2_N Знак"/>
    <w:basedOn w:val="149"/>
    <w:link w:val="168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70">
    <w:name w:val="Приложение 4_N"/>
    <w:basedOn w:val="75"/>
    <w:link w:val="171"/>
    <w:qFormat/>
    <w:uiPriority w:val="0"/>
  </w:style>
  <w:style w:type="character" w:customStyle="1" w:styleId="171">
    <w:name w:val="Приложение 4_N Знак"/>
    <w:basedOn w:val="76"/>
    <w:link w:val="170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72">
    <w:name w:val="Приложение 4_N  заг"/>
    <w:basedOn w:val="77"/>
    <w:link w:val="173"/>
    <w:qFormat/>
    <w:uiPriority w:val="0"/>
  </w:style>
  <w:style w:type="character" w:customStyle="1" w:styleId="173">
    <w:name w:val="Приложение 4_N  заг Знак"/>
    <w:basedOn w:val="78"/>
    <w:link w:val="172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74">
    <w:name w:val="Приложение 5_N"/>
    <w:basedOn w:val="170"/>
    <w:link w:val="175"/>
    <w:qFormat/>
    <w:uiPriority w:val="0"/>
  </w:style>
  <w:style w:type="character" w:customStyle="1" w:styleId="175">
    <w:name w:val="Приложение 5_N Знак"/>
    <w:basedOn w:val="171"/>
    <w:link w:val="174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76">
    <w:name w:val="Приложение 5_N заг"/>
    <w:basedOn w:val="172"/>
    <w:link w:val="177"/>
    <w:qFormat/>
    <w:uiPriority w:val="0"/>
  </w:style>
  <w:style w:type="character" w:customStyle="1" w:styleId="177">
    <w:name w:val="Приложение 5_N заг Знак"/>
    <w:basedOn w:val="173"/>
    <w:link w:val="176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78">
    <w:name w:val="Приложение 6_N"/>
    <w:basedOn w:val="174"/>
    <w:link w:val="179"/>
    <w:qFormat/>
    <w:uiPriority w:val="0"/>
  </w:style>
  <w:style w:type="character" w:customStyle="1" w:styleId="179">
    <w:name w:val="Приложение 6_N Знак"/>
    <w:basedOn w:val="175"/>
    <w:link w:val="178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80">
    <w:name w:val="Приложение 6_N заг"/>
    <w:basedOn w:val="176"/>
    <w:link w:val="181"/>
    <w:qFormat/>
    <w:uiPriority w:val="0"/>
  </w:style>
  <w:style w:type="character" w:customStyle="1" w:styleId="181">
    <w:name w:val="Приложение 6_N заг Знак"/>
    <w:basedOn w:val="177"/>
    <w:link w:val="180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82">
    <w:name w:val="Приложение 6_N альбом"/>
    <w:basedOn w:val="1"/>
    <w:link w:val="183"/>
    <w:qFormat/>
    <w:uiPriority w:val="0"/>
    <w:pPr>
      <w:ind w:left="11340"/>
      <w:jc w:val="right"/>
    </w:pPr>
    <w:rPr>
      <w:b/>
      <w:lang w:eastAsia="en-US"/>
    </w:rPr>
  </w:style>
  <w:style w:type="character" w:customStyle="1" w:styleId="183">
    <w:name w:val="Приложение 6_N альбом Знак"/>
    <w:link w:val="182"/>
    <w:qFormat/>
    <w:uiPriority w:val="0"/>
    <w:rPr>
      <w:b/>
      <w:sz w:val="24"/>
      <w:szCs w:val="24"/>
      <w:lang w:val="ru-RU" w:eastAsia="en-US" w:bidi="ar-SA"/>
    </w:rPr>
  </w:style>
  <w:style w:type="paragraph" w:customStyle="1" w:styleId="184">
    <w:name w:val="Приложение 9_N"/>
    <w:basedOn w:val="174"/>
    <w:link w:val="185"/>
    <w:qFormat/>
    <w:uiPriority w:val="0"/>
  </w:style>
  <w:style w:type="character" w:customStyle="1" w:styleId="185">
    <w:name w:val="Приложение 9_N Знак"/>
    <w:basedOn w:val="175"/>
    <w:link w:val="184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86">
    <w:name w:val="Приложение 9_N заг"/>
    <w:basedOn w:val="176"/>
    <w:link w:val="187"/>
    <w:qFormat/>
    <w:uiPriority w:val="0"/>
  </w:style>
  <w:style w:type="character" w:customStyle="1" w:styleId="187">
    <w:name w:val="Приложение 9_N заг Знак"/>
    <w:basedOn w:val="177"/>
    <w:link w:val="186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88">
    <w:name w:val="Приложение 9_N альбом"/>
    <w:basedOn w:val="182"/>
    <w:link w:val="189"/>
    <w:qFormat/>
    <w:uiPriority w:val="0"/>
  </w:style>
  <w:style w:type="character" w:customStyle="1" w:styleId="189">
    <w:name w:val="Приложение 9_N альбом Знак"/>
    <w:basedOn w:val="183"/>
    <w:link w:val="188"/>
    <w:qFormat/>
    <w:uiPriority w:val="0"/>
    <w:rPr>
      <w:sz w:val="24"/>
      <w:szCs w:val="24"/>
      <w:lang w:val="ru-RU" w:eastAsia="en-US" w:bidi="ar-SA"/>
    </w:rPr>
  </w:style>
  <w:style w:type="paragraph" w:customStyle="1" w:styleId="190">
    <w:name w:val="Приложение 10_N"/>
    <w:basedOn w:val="184"/>
    <w:link w:val="191"/>
    <w:qFormat/>
    <w:uiPriority w:val="0"/>
  </w:style>
  <w:style w:type="character" w:customStyle="1" w:styleId="191">
    <w:name w:val="Приложение 10_N Знак"/>
    <w:basedOn w:val="185"/>
    <w:link w:val="190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92">
    <w:name w:val="Приложение 10_N заг"/>
    <w:basedOn w:val="186"/>
    <w:link w:val="193"/>
    <w:qFormat/>
    <w:uiPriority w:val="0"/>
  </w:style>
  <w:style w:type="character" w:customStyle="1" w:styleId="193">
    <w:name w:val="Приложение 10_N заг Знак"/>
    <w:basedOn w:val="187"/>
    <w:link w:val="192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194">
    <w:name w:val="Приложение 10_N альбом"/>
    <w:basedOn w:val="188"/>
    <w:link w:val="195"/>
    <w:qFormat/>
    <w:uiPriority w:val="0"/>
  </w:style>
  <w:style w:type="character" w:customStyle="1" w:styleId="195">
    <w:name w:val="Приложение 10_N альбом Знак"/>
    <w:basedOn w:val="189"/>
    <w:link w:val="194"/>
    <w:qFormat/>
    <w:uiPriority w:val="0"/>
    <w:rPr>
      <w:sz w:val="24"/>
      <w:szCs w:val="24"/>
      <w:lang w:val="ru-RU" w:eastAsia="en-US" w:bidi="ar-SA"/>
    </w:rPr>
  </w:style>
  <w:style w:type="paragraph" w:customStyle="1" w:styleId="196">
    <w:name w:val="Приложение 11_N альбом"/>
    <w:basedOn w:val="194"/>
    <w:link w:val="197"/>
    <w:qFormat/>
    <w:uiPriority w:val="0"/>
  </w:style>
  <w:style w:type="character" w:customStyle="1" w:styleId="197">
    <w:name w:val="Приложение 11_N альбом Знак"/>
    <w:basedOn w:val="195"/>
    <w:link w:val="196"/>
    <w:qFormat/>
    <w:uiPriority w:val="0"/>
    <w:rPr>
      <w:sz w:val="24"/>
      <w:szCs w:val="24"/>
      <w:lang w:val="ru-RU" w:eastAsia="en-US" w:bidi="ar-SA"/>
    </w:rPr>
  </w:style>
  <w:style w:type="paragraph" w:customStyle="1" w:styleId="198">
    <w:name w:val="Приложение 11_N заг"/>
    <w:basedOn w:val="192"/>
    <w:link w:val="199"/>
    <w:qFormat/>
    <w:uiPriority w:val="0"/>
  </w:style>
  <w:style w:type="character" w:customStyle="1" w:styleId="199">
    <w:name w:val="Приложение 11_N заг Знак"/>
    <w:basedOn w:val="193"/>
    <w:link w:val="198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200">
    <w:name w:val="Приложение 11_N"/>
    <w:basedOn w:val="190"/>
    <w:link w:val="201"/>
    <w:qFormat/>
    <w:uiPriority w:val="0"/>
  </w:style>
  <w:style w:type="character" w:customStyle="1" w:styleId="201">
    <w:name w:val="Приложение 11_N Знак"/>
    <w:basedOn w:val="191"/>
    <w:link w:val="200"/>
    <w:qFormat/>
    <w:uiPriority w:val="0"/>
    <w:rPr>
      <w:kern w:val="32"/>
      <w:sz w:val="24"/>
      <w:szCs w:val="24"/>
      <w:lang w:val="ru-RU" w:eastAsia="en-US" w:bidi="ar-SA"/>
    </w:rPr>
  </w:style>
  <w:style w:type="paragraph" w:customStyle="1" w:styleId="202">
    <w:name w:val="THKRecipaddress"/>
    <w:qFormat/>
    <w:uiPriority w:val="0"/>
    <w:pPr>
      <w:spacing w:after="280" w:line="280" w:lineRule="exact"/>
    </w:pPr>
    <w:rPr>
      <w:rFonts w:ascii="Arial" w:hAnsi="Arial" w:eastAsia="Times New Roman" w:cs="Times New Roman"/>
      <w:color w:val="000000"/>
      <w:sz w:val="24"/>
      <w:szCs w:val="24"/>
      <w:lang w:val="ru-RU" w:eastAsia="ru-RU" w:bidi="ar-SA"/>
    </w:rPr>
  </w:style>
  <w:style w:type="paragraph" w:customStyle="1" w:styleId="203">
    <w:name w:val="Перечисление"/>
    <w:basedOn w:val="1"/>
    <w:next w:val="1"/>
    <w:link w:val="204"/>
    <w:qFormat/>
    <w:uiPriority w:val="0"/>
    <w:pPr>
      <w:numPr>
        <w:ilvl w:val="0"/>
        <w:numId w:val="5"/>
      </w:numPr>
      <w:spacing w:line="360" w:lineRule="auto"/>
      <w:jc w:val="both"/>
    </w:pPr>
  </w:style>
  <w:style w:type="character" w:customStyle="1" w:styleId="204">
    <w:name w:val="Перечисление Знак"/>
    <w:link w:val="203"/>
    <w:qFormat/>
    <w:uiPriority w:val="0"/>
    <w:rPr>
      <w:color w:val="000000"/>
      <w:sz w:val="24"/>
      <w:szCs w:val="24"/>
    </w:rPr>
  </w:style>
  <w:style w:type="paragraph" w:customStyle="1" w:styleId="205">
    <w:name w:val="ОСНОВНОЙ ТЕКСТ"/>
    <w:basedOn w:val="1"/>
    <w:link w:val="206"/>
    <w:qFormat/>
    <w:uiPriority w:val="0"/>
    <w:pPr>
      <w:spacing w:line="360" w:lineRule="auto"/>
      <w:ind w:firstLine="856"/>
      <w:jc w:val="both"/>
    </w:pPr>
    <w:rPr>
      <w:szCs w:val="20"/>
    </w:rPr>
  </w:style>
  <w:style w:type="character" w:customStyle="1" w:styleId="206">
    <w:name w:val="ОСНОВНОЙ ТЕКСТ Знак"/>
    <w:link w:val="205"/>
    <w:qFormat/>
    <w:uiPriority w:val="0"/>
    <w:rPr>
      <w:sz w:val="24"/>
      <w:lang w:val="ru-RU" w:eastAsia="ru-RU" w:bidi="ar-SA"/>
    </w:rPr>
  </w:style>
  <w:style w:type="character" w:customStyle="1" w:styleId="207">
    <w:name w:val="перечень Знак Знак2"/>
    <w:qFormat/>
    <w:uiPriority w:val="0"/>
    <w:rPr>
      <w:sz w:val="24"/>
      <w:szCs w:val="24"/>
      <w:lang w:val="ru-RU" w:eastAsia="ru-RU" w:bidi="ar-SA"/>
    </w:rPr>
  </w:style>
  <w:style w:type="character" w:customStyle="1" w:styleId="208">
    <w:name w:val="т№ Знак"/>
    <w:qFormat/>
    <w:uiPriority w:val="0"/>
    <w:rPr>
      <w:b/>
      <w:sz w:val="24"/>
      <w:szCs w:val="24"/>
      <w:lang w:val="ru-RU" w:eastAsia="ru-RU" w:bidi="ar-SA"/>
    </w:rPr>
  </w:style>
  <w:style w:type="paragraph" w:customStyle="1" w:styleId="209">
    <w:name w:val="перечень"/>
    <w:basedOn w:val="1"/>
    <w:link w:val="210"/>
    <w:qFormat/>
    <w:uiPriority w:val="0"/>
    <w:pPr>
      <w:spacing w:after="120"/>
      <w:jc w:val="both"/>
    </w:pPr>
  </w:style>
  <w:style w:type="character" w:customStyle="1" w:styleId="210">
    <w:name w:val="перечень Знак"/>
    <w:link w:val="209"/>
    <w:qFormat/>
    <w:locked/>
    <w:uiPriority w:val="0"/>
    <w:rPr>
      <w:color w:val="000000"/>
      <w:sz w:val="24"/>
      <w:szCs w:val="24"/>
    </w:rPr>
  </w:style>
  <w:style w:type="paragraph" w:customStyle="1" w:styleId="211">
    <w:name w:val="таблица"/>
    <w:basedOn w:val="1"/>
    <w:qFormat/>
    <w:uiPriority w:val="0"/>
    <w:pPr>
      <w:numPr>
        <w:ilvl w:val="0"/>
        <w:numId w:val="6"/>
      </w:numPr>
      <w:tabs>
        <w:tab w:val="clear" w:pos="1077"/>
      </w:tabs>
      <w:ind w:left="0" w:firstLine="0"/>
      <w:jc w:val="center"/>
    </w:pPr>
  </w:style>
  <w:style w:type="paragraph" w:customStyle="1" w:styleId="212">
    <w:name w:val="перечень-цифра"/>
    <w:basedOn w:val="209"/>
    <w:qFormat/>
    <w:uiPriority w:val="0"/>
    <w:pPr>
      <w:numPr>
        <w:ilvl w:val="0"/>
        <w:numId w:val="7"/>
      </w:numPr>
    </w:pPr>
  </w:style>
  <w:style w:type="paragraph" w:customStyle="1" w:styleId="213">
    <w:name w:val="перечень-буква"/>
    <w:basedOn w:val="209"/>
    <w:qFormat/>
    <w:uiPriority w:val="0"/>
    <w:pPr>
      <w:numPr>
        <w:ilvl w:val="0"/>
        <w:numId w:val="8"/>
      </w:numPr>
    </w:pPr>
  </w:style>
  <w:style w:type="paragraph" w:customStyle="1" w:styleId="214">
    <w:name w:val="Обычный2"/>
    <w:qFormat/>
    <w:uiPriority w:val="0"/>
    <w:pPr>
      <w:widowControl w:val="0"/>
      <w:spacing w:after="160" w:line="259" w:lineRule="auto"/>
    </w:pPr>
    <w:rPr>
      <w:rFonts w:ascii="Times New Roman" w:hAnsi="Times New Roman" w:eastAsia="Times New Roman" w:cs="Times New Roman"/>
      <w:snapToGrid w:val="0"/>
      <w:color w:val="000000"/>
      <w:sz w:val="24"/>
      <w:szCs w:val="24"/>
      <w:lang w:val="ru-RU" w:eastAsia="ru-RU" w:bidi="ar-SA"/>
    </w:rPr>
  </w:style>
  <w:style w:type="character" w:customStyle="1" w:styleId="215">
    <w:name w:val="Текст Знак"/>
    <w:link w:val="14"/>
    <w:qFormat/>
    <w:uiPriority w:val="99"/>
    <w:rPr>
      <w:rFonts w:ascii="Calibri" w:hAnsi="Calibri" w:eastAsia="Calibri"/>
      <w:sz w:val="22"/>
      <w:szCs w:val="21"/>
      <w:lang w:eastAsia="en-US"/>
    </w:rPr>
  </w:style>
  <w:style w:type="paragraph" w:customStyle="1" w:styleId="216">
    <w:name w:val="1."/>
    <w:basedOn w:val="1"/>
    <w:qFormat/>
    <w:uiPriority w:val="0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 w:eastAsia="Calibri"/>
      <w:color w:val="auto"/>
      <w:sz w:val="20"/>
      <w:szCs w:val="20"/>
      <w:lang w:val="en-GB" w:eastAsia="en-US"/>
    </w:rPr>
  </w:style>
  <w:style w:type="paragraph" w:customStyle="1" w:styleId="217">
    <w:name w:val="Заголовок оглавления1"/>
    <w:basedOn w:val="2"/>
    <w:next w:val="1"/>
    <w:unhideWhenUsed/>
    <w:qFormat/>
    <w:uiPriority w:val="39"/>
    <w:pPr>
      <w:keepLines/>
      <w:tabs>
        <w:tab w:val="clear" w:pos="432"/>
      </w:tabs>
      <w:spacing w:beforeLines="0"/>
      <w:outlineLvl w:val="9"/>
    </w:pPr>
    <w:rPr>
      <w:rFonts w:asciiTheme="majorHAnsi" w:hAnsiTheme="majorHAnsi" w:eastAsiaTheme="majorEastAsia" w:cstheme="majorBidi"/>
      <w:i w:val="0"/>
      <w:color w:val="376092" w:themeColor="accent1" w:themeShade="BF"/>
      <w:sz w:val="32"/>
      <w:szCs w:val="32"/>
    </w:rPr>
  </w:style>
  <w:style w:type="character" w:customStyle="1" w:styleId="218">
    <w:name w:val="Подзаголовок Знак"/>
    <w:basedOn w:val="35"/>
    <w:link w:val="33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AA358D-0FF9-4FB6-825A-A840E07BBE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GTNG</Company>
  <Pages>1</Pages>
  <Words>3694</Words>
  <Characters>21057</Characters>
  <Lines>175</Lines>
  <Paragraphs>49</Paragraphs>
  <TotalTime>71</TotalTime>
  <ScaleCrop>false</ScaleCrop>
  <LinksUpToDate>false</LinksUpToDate>
  <CharactersWithSpaces>24702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2021-01-25T07:11:00Z</dcterms:created>
  <dc:creator>Моисеев А.В.</dc:creator>
  <cp:lastModifiedBy>user437</cp:lastModifiedBy>
  <cp:lastPrinted>2022-03-23T05:32:00Z</cp:lastPrinted>
  <dcterms:modified xsi:type="dcterms:W3CDTF">2022-03-24T11:38:55Z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DocumentTheme">
    <vt:lpwstr>Установка подготовки нефти. Компрессорная станция ПНГ</vt:lpwstr>
  </property>
  <property fmtid="{D5CDD505-2E9C-101B-9397-08002B2CF9AE}" pid="3" name="ProjectDocumentStatus">
    <vt:lpwstr>Согласование в НИПИ</vt:lpwstr>
  </property>
  <property fmtid="{D5CDD505-2E9C-101B-9397-08002B2CF9AE}" pid="4" name="Title">
    <vt:lpwstr>3015 Установка подготовки нефти УПН. Компресорная станция попутного нефтяного газа КСН.doc</vt:lpwstr>
  </property>
  <property fmtid="{D5CDD505-2E9C-101B-9397-08002B2CF9AE}" pid="5" name="03e45e84-1992-4d42-9116-26f756012634">
    <vt:lpwstr>0x01010003982AC520C64A159CB62D6A8F89ACEB001DC01F4A0EC33240B749F9CB1F8BE55C</vt:lpwstr>
  </property>
  <property fmtid="{D5CDD505-2E9C-101B-9397-08002B2CF9AE}" pid="6" name="DA_Field_StartRound">
    <vt:lpwstr>1</vt:lpwstr>
  </property>
  <property fmtid="{D5CDD505-2E9C-101B-9397-08002B2CF9AE}" pid="7" name="FileLeafRef">
    <vt:lpwstr>5ae86cb7-9c2a-4665-99b5-b9b40b81688d.doc</vt:lpwstr>
  </property>
  <property fmtid="{D5CDD505-2E9C-101B-9397-08002B2CF9AE}" pid="8" name="DA_Field_EndRound">
    <vt:lpwstr>0</vt:lpwstr>
  </property>
  <property fmtid="{D5CDD505-2E9C-101B-9397-08002B2CF9AE}" pid="9" name="DA_Field_InternalName">
    <vt:lpwstr>3015 Установка подготовки нефти УПН. Компресорная станция попутного нефтяного газа КСН.doc</vt:lpwstr>
  </property>
  <property fmtid="{D5CDD505-2E9C-101B-9397-08002B2CF9AE}" pid="10" name="DA_Field_DocApproval">
    <vt:lpwstr>129;#</vt:lpwstr>
  </property>
  <property fmtid="{D5CDD505-2E9C-101B-9397-08002B2CF9AE}" pid="11" name="DA_Field_Task">
    <vt:lpwstr>2027;#</vt:lpwstr>
  </property>
  <property fmtid="{D5CDD505-2E9C-101B-9397-08002B2CF9AE}" pid="12" name="KSOProductBuildVer">
    <vt:lpwstr>1049-10.2.0.7646</vt:lpwstr>
  </property>
</Properties>
</file>